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745B" w14:textId="78BF0B6C" w:rsidR="002D33E9" w:rsidRPr="008543FA" w:rsidRDefault="008543FA" w:rsidP="008543FA">
      <w:pPr>
        <w:pStyle w:val="BodyText"/>
      </w:pPr>
      <w:r w:rsidRPr="008543FA">
        <w:t>Andre Agassi</w:t>
      </w:r>
    </w:p>
    <w:p w14:paraId="1F8F29A3" w14:textId="16970094" w:rsidR="002D33E9" w:rsidRPr="008543FA" w:rsidRDefault="00000000" w:rsidP="008543FA">
      <w:pPr>
        <w:pStyle w:val="BodyText"/>
      </w:pPr>
      <w:r w:rsidRPr="008543FA">
        <w:t>COM 415</w:t>
      </w:r>
    </w:p>
    <w:p w14:paraId="0B568F36" w14:textId="7ECAC9FF" w:rsidR="008543FA" w:rsidRPr="008543FA" w:rsidRDefault="008543FA" w:rsidP="008543FA">
      <w:pPr>
        <w:pStyle w:val="BodyText"/>
      </w:pPr>
      <w:r w:rsidRPr="008543FA">
        <w:t>Literature Review</w:t>
      </w:r>
    </w:p>
    <w:p w14:paraId="4FB38C82" w14:textId="4621223B" w:rsidR="008543FA" w:rsidRPr="008543FA" w:rsidRDefault="008543FA" w:rsidP="008543FA">
      <w:pPr>
        <w:pStyle w:val="BodyText"/>
      </w:pPr>
      <w:r w:rsidRPr="008543FA">
        <w:t xml:space="preserve">Style used: </w:t>
      </w:r>
      <w:proofErr w:type="gramStart"/>
      <w:r w:rsidRPr="008543FA">
        <w:t>Chicago</w:t>
      </w:r>
      <w:proofErr w:type="gramEnd"/>
    </w:p>
    <w:p w14:paraId="60369A1B" w14:textId="4CBA6FBE" w:rsidR="008543FA" w:rsidRPr="008543FA" w:rsidRDefault="008543FA" w:rsidP="008543FA">
      <w:pPr>
        <w:pStyle w:val="BodyText"/>
      </w:pPr>
      <w:r w:rsidRPr="008543FA">
        <w:t xml:space="preserve">Tentative title: </w:t>
      </w:r>
      <w:r w:rsidRPr="00E7354B">
        <w:rPr>
          <w:color w:val="212121"/>
        </w:rPr>
        <w:t>“City in Conflict: Deconstructing Memorial Ambivalence in Rome’s Confederate Monument”</w:t>
      </w:r>
    </w:p>
    <w:p w14:paraId="56DEDB4C" w14:textId="77777777" w:rsidR="008543FA" w:rsidRPr="008543FA" w:rsidRDefault="008543FA">
      <w:pPr>
        <w:pStyle w:val="BodyText"/>
        <w:spacing w:before="90"/>
        <w:ind w:left="3896" w:right="3896"/>
        <w:jc w:val="center"/>
      </w:pPr>
    </w:p>
    <w:p w14:paraId="523D0730" w14:textId="54262824" w:rsidR="002D33E9" w:rsidRPr="008543FA" w:rsidRDefault="00000000">
      <w:pPr>
        <w:pStyle w:val="BodyText"/>
        <w:spacing w:before="90"/>
        <w:ind w:left="3896" w:right="3896"/>
        <w:jc w:val="center"/>
      </w:pPr>
      <w:r w:rsidRPr="008543FA">
        <w:t>Literature</w:t>
      </w:r>
      <w:r w:rsidRPr="008543FA">
        <w:rPr>
          <w:spacing w:val="-1"/>
        </w:rPr>
        <w:t xml:space="preserve"> </w:t>
      </w:r>
      <w:r w:rsidRPr="008543FA">
        <w:rPr>
          <w:spacing w:val="-2"/>
        </w:rPr>
        <w:t>Review</w:t>
      </w:r>
    </w:p>
    <w:p w14:paraId="0A49A664" w14:textId="77777777" w:rsidR="002D33E9" w:rsidRPr="008543FA" w:rsidRDefault="002D33E9">
      <w:pPr>
        <w:pStyle w:val="BodyText"/>
      </w:pPr>
    </w:p>
    <w:p w14:paraId="4680F7A9" w14:textId="77777777" w:rsidR="002D33E9" w:rsidRPr="008543FA" w:rsidRDefault="00000000" w:rsidP="008543FA">
      <w:pPr>
        <w:pStyle w:val="BodyText"/>
        <w:spacing w:line="480" w:lineRule="auto"/>
        <w:ind w:left="100" w:right="129"/>
      </w:pPr>
      <w:r w:rsidRPr="008543FA">
        <w:t xml:space="preserve">Although humans have constructed and consecrated memorial and burial sites since ancient times, it took the 20th-century work of sociologist Maurice </w:t>
      </w:r>
      <w:proofErr w:type="spellStart"/>
      <w:r w:rsidRPr="008543FA">
        <w:t>Halbwachs</w:t>
      </w:r>
      <w:proofErr w:type="spellEnd"/>
      <w:r w:rsidRPr="008543FA">
        <w:t xml:space="preserve"> to elevate public memory as a </w:t>
      </w:r>
      <w:proofErr w:type="gramStart"/>
      <w:r w:rsidRPr="008543FA">
        <w:t>socially-validated</w:t>
      </w:r>
      <w:proofErr w:type="gramEnd"/>
      <w:r w:rsidRPr="008543FA">
        <w:t xml:space="preserve"> field of academic study (Carroll 157). In his 1950 study, “The Collective Memory,” </w:t>
      </w:r>
      <w:proofErr w:type="spellStart"/>
      <w:r w:rsidRPr="008543FA">
        <w:t>Halbwachs</w:t>
      </w:r>
      <w:proofErr w:type="spellEnd"/>
      <w:r w:rsidRPr="008543FA">
        <w:t xml:space="preserve"> differentiates collective memory from history as a “current of continuous thought” tied to and bounded by the “consciousness of the groups keeping the memory alive,” rather than a comprehensive analysis of primary sources (</w:t>
      </w:r>
      <w:proofErr w:type="spellStart"/>
      <w:r w:rsidRPr="008543FA">
        <w:t>Halbwachs</w:t>
      </w:r>
      <w:proofErr w:type="spellEnd"/>
      <w:r w:rsidRPr="008543FA">
        <w:t xml:space="preserve"> 140 and 143). Historians strive to privilege no singular perspective over others, while students of collective memory purposely seek to isolate the formative narratives of individual communities (</w:t>
      </w:r>
      <w:proofErr w:type="spellStart"/>
      <w:r w:rsidRPr="008543FA">
        <w:t>Halbwachs</w:t>
      </w:r>
      <w:proofErr w:type="spellEnd"/>
      <w:r w:rsidRPr="008543FA">
        <w:t xml:space="preserve"> 140). These scholars recognize that multiple, and often competing, collective memories exist surrounding the same historical events as a result (</w:t>
      </w:r>
      <w:proofErr w:type="spellStart"/>
      <w:r w:rsidRPr="008543FA">
        <w:t>Halbwachs</w:t>
      </w:r>
      <w:proofErr w:type="spellEnd"/>
      <w:r w:rsidRPr="008543FA">
        <w:t xml:space="preserve"> 142). To better understand</w:t>
      </w:r>
      <w:r w:rsidRPr="008543FA">
        <w:rPr>
          <w:spacing w:val="-4"/>
        </w:rPr>
        <w:t xml:space="preserve"> </w:t>
      </w:r>
      <w:r w:rsidRPr="008543FA">
        <w:t>the</w:t>
      </w:r>
      <w:r w:rsidRPr="008543FA">
        <w:rPr>
          <w:spacing w:val="-4"/>
        </w:rPr>
        <w:t xml:space="preserve"> </w:t>
      </w:r>
      <w:r w:rsidRPr="008543FA">
        <w:t>perpetuation</w:t>
      </w:r>
      <w:r w:rsidRPr="008543FA">
        <w:rPr>
          <w:spacing w:val="-4"/>
        </w:rPr>
        <w:t xml:space="preserve"> </w:t>
      </w:r>
      <w:r w:rsidRPr="008543FA">
        <w:t>of</w:t>
      </w:r>
      <w:r w:rsidRPr="008543FA">
        <w:rPr>
          <w:spacing w:val="-4"/>
        </w:rPr>
        <w:t xml:space="preserve"> </w:t>
      </w:r>
      <w:r w:rsidRPr="008543FA">
        <w:t>these</w:t>
      </w:r>
      <w:r w:rsidRPr="008543FA">
        <w:rPr>
          <w:spacing w:val="-4"/>
        </w:rPr>
        <w:t xml:space="preserve"> </w:t>
      </w:r>
      <w:r w:rsidRPr="008543FA">
        <w:t>metanarratives,</w:t>
      </w:r>
      <w:r w:rsidRPr="008543FA">
        <w:rPr>
          <w:spacing w:val="-4"/>
        </w:rPr>
        <w:t xml:space="preserve"> </w:t>
      </w:r>
      <w:r w:rsidRPr="008543FA">
        <w:t>recent</w:t>
      </w:r>
      <w:r w:rsidRPr="008543FA">
        <w:rPr>
          <w:spacing w:val="-4"/>
        </w:rPr>
        <w:t xml:space="preserve"> </w:t>
      </w:r>
      <w:r w:rsidRPr="008543FA">
        <w:t>scholars</w:t>
      </w:r>
      <w:r w:rsidRPr="008543FA">
        <w:rPr>
          <w:spacing w:val="-5"/>
        </w:rPr>
        <w:t xml:space="preserve"> </w:t>
      </w:r>
      <w:r w:rsidRPr="008543FA">
        <w:t>have</w:t>
      </w:r>
      <w:r w:rsidRPr="008543FA">
        <w:rPr>
          <w:spacing w:val="-4"/>
        </w:rPr>
        <w:t xml:space="preserve"> </w:t>
      </w:r>
      <w:r w:rsidRPr="008543FA">
        <w:t>begun</w:t>
      </w:r>
      <w:r w:rsidRPr="008543FA">
        <w:rPr>
          <w:spacing w:val="-4"/>
        </w:rPr>
        <w:t xml:space="preserve"> </w:t>
      </w:r>
      <w:r w:rsidRPr="008543FA">
        <w:t>analyzing</w:t>
      </w:r>
      <w:r w:rsidRPr="008543FA">
        <w:rPr>
          <w:spacing w:val="-4"/>
        </w:rPr>
        <w:t xml:space="preserve"> </w:t>
      </w:r>
      <w:r w:rsidRPr="008543FA">
        <w:t>public monuments as anchors of “political and cultural meaning” rather than “innocent embellishments of the public sphere” (Johnson 293). Communication scholar Brian Carroll characterizes monumental commemoration as a dynamic and selective process of meaning-making, due to the community negotiations over concept, location, construction, and inscription which they entail (Carroll 157). He argues that monuments and memorials are primarily political endeavors of collective remembering, and forgetting, “controlled by those in power” (Carroll 157).</w:t>
      </w:r>
    </w:p>
    <w:p w14:paraId="5CA9E41C" w14:textId="77777777" w:rsidR="002D33E9" w:rsidRPr="008543FA" w:rsidRDefault="002D33E9">
      <w:pPr>
        <w:spacing w:line="480" w:lineRule="auto"/>
        <w:rPr>
          <w:sz w:val="24"/>
          <w:szCs w:val="24"/>
        </w:rPr>
        <w:sectPr w:rsidR="002D33E9" w:rsidRPr="008543FA">
          <w:headerReference w:type="default" r:id="rId6"/>
          <w:footerReference w:type="even" r:id="rId7"/>
          <w:footerReference w:type="default" r:id="rId8"/>
          <w:type w:val="continuous"/>
          <w:pgSz w:w="12240" w:h="15840"/>
          <w:pgMar w:top="980" w:right="1340" w:bottom="280" w:left="1340" w:header="730" w:footer="0" w:gutter="0"/>
          <w:pgNumType w:start="1"/>
          <w:cols w:space="720"/>
        </w:sectPr>
      </w:pPr>
    </w:p>
    <w:p w14:paraId="7CA0FE94" w14:textId="77777777" w:rsidR="002D33E9" w:rsidRPr="008543FA" w:rsidRDefault="002D33E9">
      <w:pPr>
        <w:pStyle w:val="BodyText"/>
      </w:pPr>
    </w:p>
    <w:p w14:paraId="47536FFF" w14:textId="77777777" w:rsidR="002D33E9" w:rsidRPr="008543FA" w:rsidRDefault="002D33E9">
      <w:pPr>
        <w:pStyle w:val="BodyText"/>
      </w:pPr>
    </w:p>
    <w:p w14:paraId="66FC69C5" w14:textId="77777777" w:rsidR="002D33E9" w:rsidRPr="008543FA" w:rsidRDefault="00000000">
      <w:pPr>
        <w:pStyle w:val="BodyText"/>
        <w:spacing w:before="216" w:line="480" w:lineRule="auto"/>
        <w:ind w:left="100" w:right="99" w:firstLine="720"/>
      </w:pPr>
      <w:r w:rsidRPr="008543FA">
        <w:t>One of the primary places this political struggle manifests in the United States is the raging debate over the Confederate iconography crowding cemeteries, parks, town squares, and country lanes across the American South (</w:t>
      </w:r>
      <w:proofErr w:type="spellStart"/>
      <w:r w:rsidRPr="008543FA">
        <w:t>Simko</w:t>
      </w:r>
      <w:proofErr w:type="spellEnd"/>
      <w:r w:rsidRPr="008543FA">
        <w:t xml:space="preserve"> et al. 591). Debates over Confederate displays and</w:t>
      </w:r>
      <w:r w:rsidRPr="008543FA">
        <w:rPr>
          <w:spacing w:val="-3"/>
        </w:rPr>
        <w:t xml:space="preserve"> </w:t>
      </w:r>
      <w:r w:rsidRPr="008543FA">
        <w:t>their</w:t>
      </w:r>
      <w:r w:rsidRPr="008543FA">
        <w:rPr>
          <w:spacing w:val="-3"/>
        </w:rPr>
        <w:t xml:space="preserve"> </w:t>
      </w:r>
      <w:r w:rsidRPr="008543FA">
        <w:t>meanings</w:t>
      </w:r>
      <w:r w:rsidRPr="008543FA">
        <w:rPr>
          <w:spacing w:val="-4"/>
        </w:rPr>
        <w:t xml:space="preserve"> </w:t>
      </w:r>
      <w:r w:rsidRPr="008543FA">
        <w:t>have</w:t>
      </w:r>
      <w:r w:rsidRPr="008543FA">
        <w:rPr>
          <w:spacing w:val="-4"/>
        </w:rPr>
        <w:t xml:space="preserve"> </w:t>
      </w:r>
      <w:r w:rsidRPr="008543FA">
        <w:t>intensified</w:t>
      </w:r>
      <w:r w:rsidRPr="008543FA">
        <w:rPr>
          <w:spacing w:val="-3"/>
        </w:rPr>
        <w:t xml:space="preserve"> </w:t>
      </w:r>
      <w:r w:rsidRPr="008543FA">
        <w:t>since</w:t>
      </w:r>
      <w:r w:rsidRPr="008543FA">
        <w:rPr>
          <w:spacing w:val="-4"/>
        </w:rPr>
        <w:t xml:space="preserve"> </w:t>
      </w:r>
      <w:r w:rsidRPr="008543FA">
        <w:t>2015,</w:t>
      </w:r>
      <w:r w:rsidRPr="008543FA">
        <w:rPr>
          <w:spacing w:val="-3"/>
        </w:rPr>
        <w:t xml:space="preserve"> </w:t>
      </w:r>
      <w:r w:rsidRPr="008543FA">
        <w:t>when</w:t>
      </w:r>
      <w:r w:rsidRPr="008543FA">
        <w:rPr>
          <w:spacing w:val="-3"/>
        </w:rPr>
        <w:t xml:space="preserve"> </w:t>
      </w:r>
      <w:r w:rsidRPr="008543FA">
        <w:t>a</w:t>
      </w:r>
      <w:r w:rsidRPr="008543FA">
        <w:rPr>
          <w:spacing w:val="-3"/>
        </w:rPr>
        <w:t xml:space="preserve"> </w:t>
      </w:r>
      <w:r w:rsidRPr="008543FA">
        <w:t>white</w:t>
      </w:r>
      <w:r w:rsidRPr="008543FA">
        <w:rPr>
          <w:spacing w:val="-3"/>
        </w:rPr>
        <w:t xml:space="preserve"> </w:t>
      </w:r>
      <w:r w:rsidRPr="008543FA">
        <w:t>supremacist</w:t>
      </w:r>
      <w:r w:rsidRPr="008543FA">
        <w:rPr>
          <w:spacing w:val="-3"/>
        </w:rPr>
        <w:t xml:space="preserve"> </w:t>
      </w:r>
      <w:r w:rsidRPr="008543FA">
        <w:t>massacred</w:t>
      </w:r>
      <w:r w:rsidRPr="008543FA">
        <w:rPr>
          <w:spacing w:val="-3"/>
        </w:rPr>
        <w:t xml:space="preserve"> </w:t>
      </w:r>
      <w:r w:rsidRPr="008543FA">
        <w:t>nine</w:t>
      </w:r>
      <w:r w:rsidRPr="008543FA">
        <w:rPr>
          <w:spacing w:val="-4"/>
        </w:rPr>
        <w:t xml:space="preserve"> </w:t>
      </w:r>
      <w:r w:rsidRPr="008543FA">
        <w:t>Black churchgoers in Charleston, South Carolina; a neo-Nazi killed a counter-protestor over a Confederate statue in Charlottesville, Virginia; and extremists sent death threats to contractors over the removal of another statue in New Orleans, Louisiana (Forest and Johnson 127). Most recently, a January 6 rioter carried the Confederate battle flag through the halls of the Capitol Building in a flagrant act of insurrection (Little 169). In the wake of such appalling acts, many communities have begun to debate strategies to silence, contextualize, and counter the original meanings of the Confederate</w:t>
      </w:r>
      <w:r w:rsidRPr="008543FA">
        <w:rPr>
          <w:spacing w:val="-1"/>
        </w:rPr>
        <w:t xml:space="preserve"> </w:t>
      </w:r>
      <w:r w:rsidRPr="008543FA">
        <w:t>monuments</w:t>
      </w:r>
      <w:r w:rsidRPr="008543FA">
        <w:rPr>
          <w:spacing w:val="-1"/>
        </w:rPr>
        <w:t xml:space="preserve"> </w:t>
      </w:r>
      <w:r w:rsidRPr="008543FA">
        <w:t>contributing to their collective memories</w:t>
      </w:r>
      <w:r w:rsidRPr="008543FA">
        <w:rPr>
          <w:spacing w:val="-1"/>
        </w:rPr>
        <w:t xml:space="preserve"> </w:t>
      </w:r>
      <w:r w:rsidRPr="008543FA">
        <w:t>(</w:t>
      </w:r>
      <w:proofErr w:type="spellStart"/>
      <w:r w:rsidRPr="008543FA">
        <w:t>Simko</w:t>
      </w:r>
      <w:proofErr w:type="spellEnd"/>
      <w:r w:rsidRPr="008543FA">
        <w:t xml:space="preserve"> et al. </w:t>
      </w:r>
      <w:r w:rsidRPr="008543FA">
        <w:rPr>
          <w:spacing w:val="-2"/>
        </w:rPr>
        <w:t>592).</w:t>
      </w:r>
    </w:p>
    <w:p w14:paraId="7C728620" w14:textId="77777777" w:rsidR="002D33E9" w:rsidRPr="008543FA" w:rsidRDefault="00000000">
      <w:pPr>
        <w:pStyle w:val="BodyText"/>
        <w:spacing w:line="480" w:lineRule="auto"/>
        <w:ind w:left="100" w:right="99" w:firstLine="720"/>
      </w:pPr>
      <w:r w:rsidRPr="008543FA">
        <w:t xml:space="preserve">To determine the appropriateness of a given monument, sociologist </w:t>
      </w:r>
      <w:proofErr w:type="spellStart"/>
      <w:r w:rsidRPr="008543FA">
        <w:t>Vered</w:t>
      </w:r>
      <w:proofErr w:type="spellEnd"/>
      <w:r w:rsidRPr="008543FA">
        <w:t xml:space="preserve"> </w:t>
      </w:r>
      <w:proofErr w:type="spellStart"/>
      <w:r w:rsidRPr="008543FA">
        <w:t>Vinitsky</w:t>
      </w:r>
      <w:proofErr w:type="spellEnd"/>
      <w:r w:rsidRPr="008543FA">
        <w:t>- Seroussi of Hebrew University of Jerusalem proposes a three-part theoretical framework to unravel its embedded narratives. He encourages scholars to examine “the political culture of the commemorating society,” “the timing of the commemoration” and “the power of the agents of memory” to unravel their mythic meanings (</w:t>
      </w:r>
      <w:proofErr w:type="spellStart"/>
      <w:r w:rsidRPr="008543FA">
        <w:t>Vinitsky</w:t>
      </w:r>
      <w:proofErr w:type="spellEnd"/>
      <w:r w:rsidRPr="008543FA">
        <w:t>-Seroussi 32). When it comes to analyzing Confederate</w:t>
      </w:r>
      <w:r w:rsidRPr="008543FA">
        <w:rPr>
          <w:spacing w:val="-4"/>
        </w:rPr>
        <w:t xml:space="preserve"> </w:t>
      </w:r>
      <w:r w:rsidRPr="008543FA">
        <w:t>monuments</w:t>
      </w:r>
      <w:r w:rsidRPr="008543FA">
        <w:rPr>
          <w:spacing w:val="-5"/>
        </w:rPr>
        <w:t xml:space="preserve"> </w:t>
      </w:r>
      <w:r w:rsidRPr="008543FA">
        <w:t>in</w:t>
      </w:r>
      <w:r w:rsidRPr="008543FA">
        <w:rPr>
          <w:spacing w:val="-4"/>
        </w:rPr>
        <w:t xml:space="preserve"> </w:t>
      </w:r>
      <w:r w:rsidRPr="008543FA">
        <w:t>the</w:t>
      </w:r>
      <w:r w:rsidRPr="008543FA">
        <w:rPr>
          <w:spacing w:val="-4"/>
        </w:rPr>
        <w:t xml:space="preserve"> </w:t>
      </w:r>
      <w:proofErr w:type="gramStart"/>
      <w:r w:rsidRPr="008543FA">
        <w:t>United</w:t>
      </w:r>
      <w:r w:rsidRPr="008543FA">
        <w:rPr>
          <w:spacing w:val="-4"/>
        </w:rPr>
        <w:t xml:space="preserve"> </w:t>
      </w:r>
      <w:r w:rsidRPr="008543FA">
        <w:t>states</w:t>
      </w:r>
      <w:proofErr w:type="gramEnd"/>
      <w:r w:rsidRPr="008543FA">
        <w:t>,</w:t>
      </w:r>
      <w:r w:rsidRPr="008543FA">
        <w:rPr>
          <w:spacing w:val="-4"/>
        </w:rPr>
        <w:t xml:space="preserve"> </w:t>
      </w:r>
      <w:r w:rsidRPr="008543FA">
        <w:t>Sara</w:t>
      </w:r>
      <w:r w:rsidRPr="008543FA">
        <w:rPr>
          <w:spacing w:val="-5"/>
        </w:rPr>
        <w:t xml:space="preserve"> </w:t>
      </w:r>
      <w:r w:rsidRPr="008543FA">
        <w:t>Evans</w:t>
      </w:r>
      <w:r w:rsidRPr="008543FA">
        <w:rPr>
          <w:spacing w:val="-5"/>
        </w:rPr>
        <w:t xml:space="preserve"> </w:t>
      </w:r>
      <w:r w:rsidRPr="008543FA">
        <w:t>applies</w:t>
      </w:r>
      <w:r w:rsidRPr="008543FA">
        <w:rPr>
          <w:spacing w:val="-5"/>
        </w:rPr>
        <w:t xml:space="preserve"> </w:t>
      </w:r>
      <w:proofErr w:type="spellStart"/>
      <w:r w:rsidRPr="008543FA">
        <w:t>Vinitsky</w:t>
      </w:r>
      <w:proofErr w:type="spellEnd"/>
      <w:r w:rsidRPr="008543FA">
        <w:t>-Seroussi’s</w:t>
      </w:r>
      <w:r w:rsidRPr="008543FA">
        <w:rPr>
          <w:spacing w:val="-5"/>
        </w:rPr>
        <w:t xml:space="preserve"> </w:t>
      </w:r>
      <w:r w:rsidRPr="008543FA">
        <w:t>methods</w:t>
      </w:r>
      <w:r w:rsidRPr="008543FA">
        <w:rPr>
          <w:spacing w:val="-4"/>
        </w:rPr>
        <w:t xml:space="preserve"> </w:t>
      </w:r>
      <w:r w:rsidRPr="008543FA">
        <w:t>to Confederate monuments in public spaces to “explore the cultural significance of ‘who,’ ‘what,’ and ‘how’ is being remembered” in these post-Civil war sites (Evans 1044). Scholarly examination of the original climate surrounding in which many Confederate monuments were built often shows a heavy reliance on an ideology known as the Lost Cause myth of the Confederacy (Little 169).</w:t>
      </w:r>
    </w:p>
    <w:p w14:paraId="5090787A" w14:textId="77777777" w:rsidR="002D33E9" w:rsidRPr="008543FA" w:rsidRDefault="002D33E9">
      <w:pPr>
        <w:spacing w:line="480" w:lineRule="auto"/>
        <w:rPr>
          <w:sz w:val="24"/>
          <w:szCs w:val="24"/>
        </w:rPr>
        <w:sectPr w:rsidR="002D33E9" w:rsidRPr="008543FA">
          <w:pgSz w:w="12240" w:h="15840"/>
          <w:pgMar w:top="980" w:right="1340" w:bottom="280" w:left="1340" w:header="730" w:footer="0" w:gutter="0"/>
          <w:cols w:space="720"/>
        </w:sectPr>
      </w:pPr>
    </w:p>
    <w:p w14:paraId="516ACE17" w14:textId="77777777" w:rsidR="002D33E9" w:rsidRPr="008543FA" w:rsidRDefault="002D33E9">
      <w:pPr>
        <w:pStyle w:val="BodyText"/>
      </w:pPr>
    </w:p>
    <w:p w14:paraId="0971262B" w14:textId="77777777" w:rsidR="002D33E9" w:rsidRPr="008543FA" w:rsidRDefault="002D33E9">
      <w:pPr>
        <w:pStyle w:val="BodyText"/>
      </w:pPr>
    </w:p>
    <w:p w14:paraId="54D202FB" w14:textId="77777777" w:rsidR="002D33E9" w:rsidRPr="008543FA" w:rsidRDefault="00000000">
      <w:pPr>
        <w:pStyle w:val="BodyText"/>
        <w:spacing w:before="216" w:line="480" w:lineRule="auto"/>
        <w:ind w:left="100" w:right="149" w:firstLine="720"/>
      </w:pPr>
      <w:r w:rsidRPr="008543FA">
        <w:t>The Lost Cause myth is an interpretive framework which scholars define as “a sentimental</w:t>
      </w:r>
      <w:r w:rsidRPr="008543FA">
        <w:rPr>
          <w:spacing w:val="-4"/>
        </w:rPr>
        <w:t xml:space="preserve"> </w:t>
      </w:r>
      <w:r w:rsidRPr="008543FA">
        <w:t>narrative</w:t>
      </w:r>
      <w:r w:rsidRPr="008543FA">
        <w:rPr>
          <w:spacing w:val="-4"/>
        </w:rPr>
        <w:t xml:space="preserve"> </w:t>
      </w:r>
      <w:r w:rsidRPr="008543FA">
        <w:t>championed</w:t>
      </w:r>
      <w:r w:rsidRPr="008543FA">
        <w:rPr>
          <w:spacing w:val="-4"/>
        </w:rPr>
        <w:t xml:space="preserve"> </w:t>
      </w:r>
      <w:r w:rsidRPr="008543FA">
        <w:t>by</w:t>
      </w:r>
      <w:r w:rsidRPr="008543FA">
        <w:rPr>
          <w:spacing w:val="-4"/>
        </w:rPr>
        <w:t xml:space="preserve"> </w:t>
      </w:r>
      <w:r w:rsidRPr="008543FA">
        <w:t>Southern</w:t>
      </w:r>
      <w:r w:rsidRPr="008543FA">
        <w:rPr>
          <w:spacing w:val="-4"/>
        </w:rPr>
        <w:t xml:space="preserve"> </w:t>
      </w:r>
      <w:r w:rsidRPr="008543FA">
        <w:t>whites,</w:t>
      </w:r>
      <w:r w:rsidRPr="008543FA">
        <w:rPr>
          <w:spacing w:val="-4"/>
        </w:rPr>
        <w:t xml:space="preserve"> </w:t>
      </w:r>
      <w:r w:rsidRPr="008543FA">
        <w:t>one</w:t>
      </w:r>
      <w:r w:rsidRPr="008543FA">
        <w:rPr>
          <w:spacing w:val="-4"/>
        </w:rPr>
        <w:t xml:space="preserve"> </w:t>
      </w:r>
      <w:r w:rsidRPr="008543FA">
        <w:t>that</w:t>
      </w:r>
      <w:r w:rsidRPr="008543FA">
        <w:rPr>
          <w:spacing w:val="-4"/>
        </w:rPr>
        <w:t xml:space="preserve"> </w:t>
      </w:r>
      <w:r w:rsidRPr="008543FA">
        <w:t>proposes</w:t>
      </w:r>
      <w:r w:rsidRPr="008543FA">
        <w:rPr>
          <w:spacing w:val="-5"/>
        </w:rPr>
        <w:t xml:space="preserve"> </w:t>
      </w:r>
      <w:r w:rsidRPr="008543FA">
        <w:t>the</w:t>
      </w:r>
      <w:r w:rsidRPr="008543FA">
        <w:rPr>
          <w:spacing w:val="-4"/>
        </w:rPr>
        <w:t xml:space="preserve"> </w:t>
      </w:r>
      <w:r w:rsidRPr="008543FA">
        <w:t>Confederacy</w:t>
      </w:r>
      <w:r w:rsidRPr="008543FA">
        <w:rPr>
          <w:spacing w:val="-4"/>
        </w:rPr>
        <w:t xml:space="preserve"> </w:t>
      </w:r>
      <w:r w:rsidRPr="008543FA">
        <w:t>fought in defense of states’ rights and antebellum chivalry,” according to journalism scholar Alexia Little</w:t>
      </w:r>
      <w:r w:rsidRPr="008543FA">
        <w:rPr>
          <w:spacing w:val="40"/>
        </w:rPr>
        <w:t xml:space="preserve"> </w:t>
      </w:r>
      <w:r w:rsidRPr="008543FA">
        <w:t>(Little</w:t>
      </w:r>
      <w:r w:rsidRPr="008543FA">
        <w:rPr>
          <w:spacing w:val="-1"/>
        </w:rPr>
        <w:t xml:space="preserve"> </w:t>
      </w:r>
      <w:r w:rsidRPr="008543FA">
        <w:t>170-71).</w:t>
      </w:r>
      <w:r w:rsidRPr="008543FA">
        <w:rPr>
          <w:spacing w:val="-1"/>
        </w:rPr>
        <w:t xml:space="preserve"> </w:t>
      </w:r>
      <w:r w:rsidRPr="008543FA">
        <w:t>This</w:t>
      </w:r>
      <w:r w:rsidRPr="008543FA">
        <w:rPr>
          <w:spacing w:val="-2"/>
        </w:rPr>
        <w:t xml:space="preserve"> </w:t>
      </w:r>
      <w:r w:rsidRPr="008543FA">
        <w:t>narrative</w:t>
      </w:r>
      <w:r w:rsidRPr="008543FA">
        <w:rPr>
          <w:spacing w:val="-1"/>
        </w:rPr>
        <w:t xml:space="preserve"> </w:t>
      </w:r>
      <w:r w:rsidRPr="008543FA">
        <w:t>was</w:t>
      </w:r>
      <w:r w:rsidRPr="008543FA">
        <w:rPr>
          <w:spacing w:val="-2"/>
        </w:rPr>
        <w:t xml:space="preserve"> </w:t>
      </w:r>
      <w:r w:rsidRPr="008543FA">
        <w:t>widely</w:t>
      </w:r>
      <w:r w:rsidRPr="008543FA">
        <w:rPr>
          <w:spacing w:val="-1"/>
        </w:rPr>
        <w:t xml:space="preserve"> </w:t>
      </w:r>
      <w:r w:rsidRPr="008543FA">
        <w:t>promoted</w:t>
      </w:r>
      <w:r w:rsidRPr="008543FA">
        <w:rPr>
          <w:spacing w:val="-1"/>
        </w:rPr>
        <w:t xml:space="preserve"> </w:t>
      </w:r>
      <w:r w:rsidRPr="008543FA">
        <w:t>among</w:t>
      </w:r>
      <w:r w:rsidRPr="008543FA">
        <w:rPr>
          <w:spacing w:val="-1"/>
        </w:rPr>
        <w:t xml:space="preserve"> </w:t>
      </w:r>
      <w:r w:rsidRPr="008543FA">
        <w:t>white</w:t>
      </w:r>
      <w:r w:rsidRPr="008543FA">
        <w:rPr>
          <w:spacing w:val="-1"/>
        </w:rPr>
        <w:t xml:space="preserve"> </w:t>
      </w:r>
      <w:r w:rsidRPr="008543FA">
        <w:t>communities</w:t>
      </w:r>
      <w:r w:rsidRPr="008543FA">
        <w:rPr>
          <w:spacing w:val="-2"/>
        </w:rPr>
        <w:t xml:space="preserve"> </w:t>
      </w:r>
      <w:r w:rsidRPr="008543FA">
        <w:t>across</w:t>
      </w:r>
      <w:r w:rsidRPr="008543FA">
        <w:rPr>
          <w:spacing w:val="-2"/>
        </w:rPr>
        <w:t xml:space="preserve"> </w:t>
      </w:r>
      <w:r w:rsidRPr="008543FA">
        <w:t>the country to dignify a demoralized South and promote reunification efforts (Little 173). However, the narrative also suppressed minority collective memories of slavery and oppression (Little 174). Additionally, much of the Confederate iconography in the South was promoted by prominent</w:t>
      </w:r>
      <w:r w:rsidRPr="008543FA">
        <w:rPr>
          <w:spacing w:val="-3"/>
        </w:rPr>
        <w:t xml:space="preserve"> </w:t>
      </w:r>
      <w:r w:rsidRPr="008543FA">
        <w:t>women’s</w:t>
      </w:r>
      <w:r w:rsidRPr="008543FA">
        <w:rPr>
          <w:spacing w:val="-3"/>
        </w:rPr>
        <w:t xml:space="preserve"> </w:t>
      </w:r>
      <w:r w:rsidRPr="008543FA">
        <w:t>agencies</w:t>
      </w:r>
      <w:r w:rsidRPr="008543FA">
        <w:rPr>
          <w:spacing w:val="-3"/>
        </w:rPr>
        <w:t xml:space="preserve"> </w:t>
      </w:r>
      <w:r w:rsidRPr="008543FA">
        <w:t>such</w:t>
      </w:r>
      <w:r w:rsidRPr="008543FA">
        <w:rPr>
          <w:spacing w:val="-2"/>
        </w:rPr>
        <w:t xml:space="preserve"> </w:t>
      </w:r>
      <w:r w:rsidRPr="008543FA">
        <w:t>as</w:t>
      </w:r>
      <w:r w:rsidRPr="008543FA">
        <w:rPr>
          <w:spacing w:val="-3"/>
        </w:rPr>
        <w:t xml:space="preserve"> </w:t>
      </w:r>
      <w:r w:rsidRPr="008543FA">
        <w:t>the</w:t>
      </w:r>
      <w:r w:rsidRPr="008543FA">
        <w:rPr>
          <w:spacing w:val="-3"/>
        </w:rPr>
        <w:t xml:space="preserve"> </w:t>
      </w:r>
      <w:r w:rsidRPr="008543FA">
        <w:t>United</w:t>
      </w:r>
      <w:r w:rsidRPr="008543FA">
        <w:rPr>
          <w:spacing w:val="-2"/>
        </w:rPr>
        <w:t xml:space="preserve"> </w:t>
      </w:r>
      <w:r w:rsidRPr="008543FA">
        <w:t>Daughters</w:t>
      </w:r>
      <w:r w:rsidRPr="008543FA">
        <w:rPr>
          <w:spacing w:val="-3"/>
        </w:rPr>
        <w:t xml:space="preserve"> </w:t>
      </w:r>
      <w:r w:rsidRPr="008543FA">
        <w:t>of</w:t>
      </w:r>
      <w:r w:rsidRPr="008543FA">
        <w:rPr>
          <w:spacing w:val="-2"/>
        </w:rPr>
        <w:t xml:space="preserve"> </w:t>
      </w:r>
      <w:r w:rsidRPr="008543FA">
        <w:t>the</w:t>
      </w:r>
      <w:r w:rsidRPr="008543FA">
        <w:rPr>
          <w:spacing w:val="-2"/>
        </w:rPr>
        <w:t xml:space="preserve"> </w:t>
      </w:r>
      <w:r w:rsidRPr="008543FA">
        <w:t>Confederacy</w:t>
      </w:r>
      <w:r w:rsidRPr="008543FA">
        <w:rPr>
          <w:spacing w:val="-2"/>
        </w:rPr>
        <w:t xml:space="preserve"> </w:t>
      </w:r>
      <w:r w:rsidRPr="008543FA">
        <w:t>in</w:t>
      </w:r>
      <w:r w:rsidRPr="008543FA">
        <w:rPr>
          <w:spacing w:val="-2"/>
        </w:rPr>
        <w:t xml:space="preserve"> </w:t>
      </w:r>
      <w:r w:rsidRPr="008543FA">
        <w:t>support</w:t>
      </w:r>
      <w:r w:rsidRPr="008543FA">
        <w:rPr>
          <w:spacing w:val="-2"/>
        </w:rPr>
        <w:t xml:space="preserve"> </w:t>
      </w:r>
      <w:r w:rsidRPr="008543FA">
        <w:t>of</w:t>
      </w:r>
      <w:r w:rsidRPr="008543FA">
        <w:rPr>
          <w:spacing w:val="-2"/>
        </w:rPr>
        <w:t xml:space="preserve"> </w:t>
      </w:r>
      <w:r w:rsidRPr="008543FA">
        <w:t xml:space="preserve">this agenda (Heyse 31). Southern women often drew on rhetorical categories such as “republican motherhood” and “true womanhood” to increase their persuasive credibility and “construct their agency as public commemorators (Heyse 31). Thus, most of the collective memory surrounding the Civil War derives from white </w:t>
      </w:r>
      <w:proofErr w:type="gramStart"/>
      <w:r w:rsidRPr="008543FA">
        <w:t>power-brokers</w:t>
      </w:r>
      <w:proofErr w:type="gramEnd"/>
      <w:r w:rsidRPr="008543FA">
        <w:t xml:space="preserve"> looking to reinforce the narrative of the noble </w:t>
      </w:r>
      <w:r w:rsidRPr="008543FA">
        <w:rPr>
          <w:spacing w:val="-2"/>
        </w:rPr>
        <w:t>Confederacy.</w:t>
      </w:r>
    </w:p>
    <w:p w14:paraId="17C93C57" w14:textId="77777777" w:rsidR="002D33E9" w:rsidRPr="008543FA" w:rsidRDefault="00000000">
      <w:pPr>
        <w:pStyle w:val="BodyText"/>
        <w:spacing w:line="480" w:lineRule="auto"/>
        <w:ind w:left="100" w:right="129" w:firstLine="720"/>
      </w:pPr>
      <w:r w:rsidRPr="008543FA">
        <w:t xml:space="preserve">Other scholars study the contemporary clashes over how to handle Confederate monuments. Scholars such as Mark Vail and </w:t>
      </w:r>
      <w:proofErr w:type="spellStart"/>
      <w:r w:rsidRPr="008543FA">
        <w:t>Stephynie</w:t>
      </w:r>
      <w:proofErr w:type="spellEnd"/>
      <w:r w:rsidRPr="008543FA">
        <w:t xml:space="preserve"> Perkins studied a series of letters to the editor about two different renaming controversies in Memphis and Jacksonville, respectively (Vail 417 and Perkins 61). Like Little’s newspaper analysis, Vail’s study “revealed a rhetorical reliance</w:t>
      </w:r>
      <w:r w:rsidRPr="008543FA">
        <w:rPr>
          <w:spacing w:val="-3"/>
        </w:rPr>
        <w:t xml:space="preserve"> </w:t>
      </w:r>
      <w:r w:rsidRPr="008543FA">
        <w:t>on</w:t>
      </w:r>
      <w:r w:rsidRPr="008543FA">
        <w:rPr>
          <w:spacing w:val="-3"/>
        </w:rPr>
        <w:t xml:space="preserve"> </w:t>
      </w:r>
      <w:r w:rsidRPr="008543FA">
        <w:t>tenets</w:t>
      </w:r>
      <w:r w:rsidRPr="008543FA">
        <w:rPr>
          <w:spacing w:val="-3"/>
        </w:rPr>
        <w:t xml:space="preserve"> </w:t>
      </w:r>
      <w:r w:rsidRPr="008543FA">
        <w:t>of</w:t>
      </w:r>
      <w:r w:rsidRPr="008543FA">
        <w:rPr>
          <w:spacing w:val="-3"/>
        </w:rPr>
        <w:t xml:space="preserve"> </w:t>
      </w:r>
      <w:r w:rsidRPr="008543FA">
        <w:t>the</w:t>
      </w:r>
      <w:r w:rsidRPr="008543FA">
        <w:rPr>
          <w:spacing w:val="-3"/>
        </w:rPr>
        <w:t xml:space="preserve"> </w:t>
      </w:r>
      <w:r w:rsidRPr="008543FA">
        <w:t>Lost</w:t>
      </w:r>
      <w:r w:rsidRPr="008543FA">
        <w:rPr>
          <w:spacing w:val="-3"/>
        </w:rPr>
        <w:t xml:space="preserve"> </w:t>
      </w:r>
      <w:r w:rsidRPr="008543FA">
        <w:t>Cause</w:t>
      </w:r>
      <w:r w:rsidRPr="008543FA">
        <w:rPr>
          <w:spacing w:val="-3"/>
        </w:rPr>
        <w:t xml:space="preserve"> </w:t>
      </w:r>
      <w:r w:rsidRPr="008543FA">
        <w:t>myth</w:t>
      </w:r>
      <w:r w:rsidRPr="008543FA">
        <w:rPr>
          <w:spacing w:val="-3"/>
        </w:rPr>
        <w:t xml:space="preserve"> </w:t>
      </w:r>
      <w:r w:rsidRPr="008543FA">
        <w:t>that</w:t>
      </w:r>
      <w:r w:rsidRPr="008543FA">
        <w:rPr>
          <w:spacing w:val="-3"/>
        </w:rPr>
        <w:t xml:space="preserve"> </w:t>
      </w:r>
      <w:r w:rsidRPr="008543FA">
        <w:t>ennobled</w:t>
      </w:r>
      <w:r w:rsidRPr="008543FA">
        <w:rPr>
          <w:spacing w:val="-3"/>
        </w:rPr>
        <w:t xml:space="preserve"> </w:t>
      </w:r>
      <w:r w:rsidRPr="008543FA">
        <w:t>Southern</w:t>
      </w:r>
      <w:r w:rsidRPr="008543FA">
        <w:rPr>
          <w:spacing w:val="-3"/>
        </w:rPr>
        <w:t xml:space="preserve"> </w:t>
      </w:r>
      <w:r w:rsidRPr="008543FA">
        <w:t>states</w:t>
      </w:r>
      <w:r w:rsidRPr="008543FA">
        <w:rPr>
          <w:spacing w:val="-4"/>
        </w:rPr>
        <w:t xml:space="preserve"> </w:t>
      </w:r>
      <w:r w:rsidRPr="008543FA">
        <w:t>following</w:t>
      </w:r>
      <w:r w:rsidRPr="008543FA">
        <w:rPr>
          <w:spacing w:val="-3"/>
        </w:rPr>
        <w:t xml:space="preserve"> </w:t>
      </w:r>
      <w:r w:rsidRPr="008543FA">
        <w:t>the</w:t>
      </w:r>
      <w:r w:rsidRPr="008543FA">
        <w:rPr>
          <w:spacing w:val="-4"/>
        </w:rPr>
        <w:t xml:space="preserve"> </w:t>
      </w:r>
      <w:r w:rsidRPr="008543FA">
        <w:t>Civil</w:t>
      </w:r>
      <w:r w:rsidRPr="008543FA">
        <w:rPr>
          <w:spacing w:val="-3"/>
        </w:rPr>
        <w:t xml:space="preserve"> </w:t>
      </w:r>
      <w:r w:rsidRPr="008543FA">
        <w:t>War” and showed that the true epicenter of the controversy was “political control of Memphis’s historical narrative” (Vail 417). Perkins discovered that most writers “framed their ideas using words and concepts such as “slavery,” “Confederacy,” “hate,” and “pride,” but the writers used them in very different contexts” (Perkins 71). Readers’ differing usages of these words revealed their fundamentally diverging views of the historical events to which they refer (Perkins 71).</w:t>
      </w:r>
    </w:p>
    <w:p w14:paraId="1E1C9153" w14:textId="77777777" w:rsidR="002D33E9" w:rsidRPr="008543FA" w:rsidRDefault="002D33E9">
      <w:pPr>
        <w:spacing w:line="480" w:lineRule="auto"/>
        <w:rPr>
          <w:sz w:val="24"/>
          <w:szCs w:val="24"/>
        </w:rPr>
        <w:sectPr w:rsidR="002D33E9" w:rsidRPr="008543FA">
          <w:pgSz w:w="12240" w:h="15840"/>
          <w:pgMar w:top="980" w:right="1340" w:bottom="280" w:left="1340" w:header="730" w:footer="0" w:gutter="0"/>
          <w:cols w:space="720"/>
        </w:sectPr>
      </w:pPr>
    </w:p>
    <w:p w14:paraId="48FFEE13" w14:textId="77777777" w:rsidR="002D33E9" w:rsidRPr="008543FA" w:rsidRDefault="002D33E9">
      <w:pPr>
        <w:pStyle w:val="BodyText"/>
      </w:pPr>
    </w:p>
    <w:p w14:paraId="1D5D2F56" w14:textId="77777777" w:rsidR="002D33E9" w:rsidRPr="008543FA" w:rsidRDefault="002D33E9">
      <w:pPr>
        <w:pStyle w:val="BodyText"/>
      </w:pPr>
    </w:p>
    <w:p w14:paraId="1AEDC751" w14:textId="77777777" w:rsidR="002D33E9" w:rsidRPr="008543FA" w:rsidRDefault="00000000">
      <w:pPr>
        <w:pStyle w:val="BodyText"/>
        <w:spacing w:before="216" w:line="480" w:lineRule="auto"/>
        <w:ind w:left="100"/>
      </w:pPr>
      <w:r w:rsidRPr="008543FA">
        <w:t>Conflict</w:t>
      </w:r>
      <w:r w:rsidRPr="008543FA">
        <w:rPr>
          <w:spacing w:val="-4"/>
        </w:rPr>
        <w:t xml:space="preserve"> </w:t>
      </w:r>
      <w:r w:rsidRPr="008543FA">
        <w:t>over</w:t>
      </w:r>
      <w:r w:rsidRPr="008543FA">
        <w:rPr>
          <w:spacing w:val="-3"/>
        </w:rPr>
        <w:t xml:space="preserve"> </w:t>
      </w:r>
      <w:r w:rsidRPr="008543FA">
        <w:t>such</w:t>
      </w:r>
      <w:r w:rsidRPr="008543FA">
        <w:rPr>
          <w:spacing w:val="-3"/>
        </w:rPr>
        <w:t xml:space="preserve"> </w:t>
      </w:r>
      <w:r w:rsidRPr="008543FA">
        <w:t>objects</w:t>
      </w:r>
      <w:r w:rsidRPr="008543FA">
        <w:rPr>
          <w:spacing w:val="-4"/>
        </w:rPr>
        <w:t xml:space="preserve"> </w:t>
      </w:r>
      <w:r w:rsidRPr="008543FA">
        <w:t>of</w:t>
      </w:r>
      <w:r w:rsidRPr="008543FA">
        <w:rPr>
          <w:spacing w:val="-3"/>
        </w:rPr>
        <w:t xml:space="preserve"> </w:t>
      </w:r>
      <w:r w:rsidRPr="008543FA">
        <w:t>memory</w:t>
      </w:r>
      <w:r w:rsidRPr="008543FA">
        <w:rPr>
          <w:spacing w:val="-3"/>
        </w:rPr>
        <w:t xml:space="preserve"> </w:t>
      </w:r>
      <w:r w:rsidRPr="008543FA">
        <w:t>highlights</w:t>
      </w:r>
      <w:r w:rsidRPr="008543FA">
        <w:rPr>
          <w:spacing w:val="-3"/>
        </w:rPr>
        <w:t xml:space="preserve"> </w:t>
      </w:r>
      <w:r w:rsidRPr="008543FA">
        <w:t>“the</w:t>
      </w:r>
      <w:r w:rsidRPr="008543FA">
        <w:rPr>
          <w:spacing w:val="-3"/>
        </w:rPr>
        <w:t xml:space="preserve"> </w:t>
      </w:r>
      <w:r w:rsidRPr="008543FA">
        <w:t>underlying</w:t>
      </w:r>
      <w:r w:rsidRPr="008543FA">
        <w:rPr>
          <w:spacing w:val="-3"/>
        </w:rPr>
        <w:t xml:space="preserve"> </w:t>
      </w:r>
      <w:r w:rsidRPr="008543FA">
        <w:t>racialized</w:t>
      </w:r>
      <w:r w:rsidRPr="008543FA">
        <w:rPr>
          <w:spacing w:val="-3"/>
        </w:rPr>
        <w:t xml:space="preserve"> </w:t>
      </w:r>
      <w:r w:rsidRPr="008543FA">
        <w:t>fissures”</w:t>
      </w:r>
      <w:r w:rsidRPr="008543FA">
        <w:rPr>
          <w:spacing w:val="-4"/>
        </w:rPr>
        <w:t xml:space="preserve"> </w:t>
      </w:r>
      <w:r w:rsidRPr="008543FA">
        <w:t>in</w:t>
      </w:r>
      <w:r w:rsidRPr="008543FA">
        <w:rPr>
          <w:spacing w:val="-3"/>
        </w:rPr>
        <w:t xml:space="preserve"> </w:t>
      </w:r>
      <w:r w:rsidRPr="008543FA">
        <w:t>diverging narratives perpetuated about slavery and civil war in the antebellum South (Johnson 295). This debate is incredibly important since a city’s cultural landscape often reflects the breakdown of power among different racial groups (</w:t>
      </w:r>
      <w:proofErr w:type="spellStart"/>
      <w:r w:rsidRPr="008543FA">
        <w:t>Leib</w:t>
      </w:r>
      <w:proofErr w:type="spellEnd"/>
      <w:r w:rsidRPr="008543FA">
        <w:t xml:space="preserve"> 306).</w:t>
      </w:r>
    </w:p>
    <w:p w14:paraId="2F04366F" w14:textId="77777777" w:rsidR="002D33E9" w:rsidRPr="008543FA" w:rsidRDefault="00000000">
      <w:pPr>
        <w:pStyle w:val="BodyText"/>
        <w:spacing w:line="480" w:lineRule="auto"/>
        <w:ind w:left="100" w:right="122" w:firstLine="720"/>
      </w:pPr>
      <w:proofErr w:type="gramStart"/>
      <w:r w:rsidRPr="008543FA">
        <w:t>In light of</w:t>
      </w:r>
      <w:proofErr w:type="gramEnd"/>
      <w:r w:rsidRPr="008543FA">
        <w:t xml:space="preserve"> emerging information about the Lost Cause intent behind many Confederate monuments, an increasing number of communities have opted to remove these objects (Evans 1046). When this happens, J. David Maxson encourages scholars to step in and analyze the “monumental absences” left behind “as Lost Cause statues come down across the country” to prevent a gap in collective memory (Maxson 48). However, this approach invites a degree of critique because “any act of removal can be seen as an act of forgetting” (Forest and Johnson 130). Although they agree with the “normative” position that removing Confederate monuments is</w:t>
      </w:r>
      <w:r w:rsidRPr="008543FA">
        <w:rPr>
          <w:spacing w:val="-4"/>
        </w:rPr>
        <w:t xml:space="preserve"> </w:t>
      </w:r>
      <w:r w:rsidRPr="008543FA">
        <w:t>good</w:t>
      </w:r>
      <w:r w:rsidRPr="008543FA">
        <w:rPr>
          <w:spacing w:val="-3"/>
        </w:rPr>
        <w:t xml:space="preserve"> </w:t>
      </w:r>
      <w:r w:rsidRPr="008543FA">
        <w:t>for</w:t>
      </w:r>
      <w:r w:rsidRPr="008543FA">
        <w:rPr>
          <w:spacing w:val="-3"/>
        </w:rPr>
        <w:t xml:space="preserve"> </w:t>
      </w:r>
      <w:r w:rsidRPr="008543FA">
        <w:t>communities,</w:t>
      </w:r>
      <w:r w:rsidRPr="008543FA">
        <w:rPr>
          <w:spacing w:val="-3"/>
        </w:rPr>
        <w:t xml:space="preserve"> </w:t>
      </w:r>
      <w:r w:rsidRPr="008543FA">
        <w:t>scholars</w:t>
      </w:r>
      <w:r w:rsidRPr="008543FA">
        <w:rPr>
          <w:spacing w:val="-4"/>
        </w:rPr>
        <w:t xml:space="preserve"> </w:t>
      </w:r>
      <w:r w:rsidRPr="008543FA">
        <w:t>Benjamin</w:t>
      </w:r>
      <w:r w:rsidRPr="008543FA">
        <w:rPr>
          <w:spacing w:val="-3"/>
        </w:rPr>
        <w:t xml:space="preserve"> </w:t>
      </w:r>
      <w:r w:rsidRPr="008543FA">
        <w:t>Forest</w:t>
      </w:r>
      <w:r w:rsidRPr="008543FA">
        <w:rPr>
          <w:spacing w:val="-3"/>
        </w:rPr>
        <w:t xml:space="preserve"> </w:t>
      </w:r>
      <w:r w:rsidRPr="008543FA">
        <w:t>and</w:t>
      </w:r>
      <w:r w:rsidRPr="008543FA">
        <w:rPr>
          <w:spacing w:val="-3"/>
        </w:rPr>
        <w:t xml:space="preserve"> </w:t>
      </w:r>
      <w:r w:rsidRPr="008543FA">
        <w:t>Juliet</w:t>
      </w:r>
      <w:r w:rsidRPr="008543FA">
        <w:rPr>
          <w:spacing w:val="-4"/>
        </w:rPr>
        <w:t xml:space="preserve"> </w:t>
      </w:r>
      <w:r w:rsidRPr="008543FA">
        <w:t>Johnson</w:t>
      </w:r>
      <w:r w:rsidRPr="008543FA">
        <w:rPr>
          <w:spacing w:val="-3"/>
        </w:rPr>
        <w:t xml:space="preserve"> </w:t>
      </w:r>
      <w:r w:rsidRPr="008543FA">
        <w:t>encourage</w:t>
      </w:r>
      <w:r w:rsidRPr="008543FA">
        <w:rPr>
          <w:spacing w:val="-3"/>
        </w:rPr>
        <w:t xml:space="preserve"> </w:t>
      </w:r>
      <w:r w:rsidRPr="008543FA">
        <w:t>interrogation</w:t>
      </w:r>
      <w:r w:rsidRPr="008543FA">
        <w:rPr>
          <w:spacing w:val="-3"/>
        </w:rPr>
        <w:t xml:space="preserve"> </w:t>
      </w:r>
      <w:r w:rsidRPr="008543FA">
        <w:t>of the “reflexive desire to ‘take ‘</w:t>
      </w:r>
      <w:proofErr w:type="spellStart"/>
      <w:r w:rsidRPr="008543FA">
        <w:t>em</w:t>
      </w:r>
      <w:proofErr w:type="spellEnd"/>
      <w:r w:rsidRPr="008543FA">
        <w:t xml:space="preserve"> down” and consideration of alternative methods to “the stark choice of removal versus retention” (Forest and Johnson 127). This would seem especially true</w:t>
      </w:r>
      <w:r w:rsidRPr="008543FA">
        <w:rPr>
          <w:spacing w:val="40"/>
        </w:rPr>
        <w:t xml:space="preserve"> </w:t>
      </w:r>
      <w:proofErr w:type="gramStart"/>
      <w:r w:rsidRPr="008543FA">
        <w:t>in light of</w:t>
      </w:r>
      <w:proofErr w:type="gramEnd"/>
      <w:r w:rsidRPr="008543FA">
        <w:t xml:space="preserve"> the strongly diverging narratives held in collective memory by minority and majority groups (Evans 1044)</w:t>
      </w:r>
    </w:p>
    <w:p w14:paraId="4FA90927" w14:textId="77777777" w:rsidR="002D33E9" w:rsidRPr="008543FA" w:rsidRDefault="00000000">
      <w:pPr>
        <w:pStyle w:val="BodyText"/>
        <w:spacing w:line="480" w:lineRule="auto"/>
        <w:ind w:left="100" w:right="99" w:firstLine="720"/>
      </w:pPr>
      <w:r w:rsidRPr="008543FA">
        <w:t>One way to understand how these alterations counter or expand the meanings of Confederate</w:t>
      </w:r>
      <w:r w:rsidRPr="008543FA">
        <w:rPr>
          <w:spacing w:val="-3"/>
        </w:rPr>
        <w:t xml:space="preserve"> </w:t>
      </w:r>
      <w:r w:rsidRPr="008543FA">
        <w:t>monuments</w:t>
      </w:r>
      <w:r w:rsidRPr="008543FA">
        <w:rPr>
          <w:spacing w:val="-4"/>
        </w:rPr>
        <w:t xml:space="preserve"> </w:t>
      </w:r>
      <w:r w:rsidRPr="008543FA">
        <w:t>is</w:t>
      </w:r>
      <w:r w:rsidRPr="008543FA">
        <w:rPr>
          <w:spacing w:val="-4"/>
        </w:rPr>
        <w:t xml:space="preserve"> </w:t>
      </w:r>
      <w:r w:rsidRPr="008543FA">
        <w:t>through</w:t>
      </w:r>
      <w:r w:rsidRPr="008543FA">
        <w:rPr>
          <w:spacing w:val="-3"/>
        </w:rPr>
        <w:t xml:space="preserve"> </w:t>
      </w:r>
      <w:r w:rsidRPr="008543FA">
        <w:t>the</w:t>
      </w:r>
      <w:r w:rsidRPr="008543FA">
        <w:rPr>
          <w:spacing w:val="-3"/>
        </w:rPr>
        <w:t xml:space="preserve"> </w:t>
      </w:r>
      <w:r w:rsidRPr="008543FA">
        <w:t>“modes</w:t>
      </w:r>
      <w:r w:rsidRPr="008543FA">
        <w:rPr>
          <w:spacing w:val="-4"/>
        </w:rPr>
        <w:t xml:space="preserve"> </w:t>
      </w:r>
      <w:r w:rsidRPr="008543FA">
        <w:t>of</w:t>
      </w:r>
      <w:r w:rsidRPr="008543FA">
        <w:rPr>
          <w:spacing w:val="-3"/>
        </w:rPr>
        <w:t xml:space="preserve"> </w:t>
      </w:r>
      <w:r w:rsidRPr="008543FA">
        <w:t>recontextualization”</w:t>
      </w:r>
      <w:r w:rsidRPr="008543FA">
        <w:rPr>
          <w:spacing w:val="-3"/>
        </w:rPr>
        <w:t xml:space="preserve"> </w:t>
      </w:r>
      <w:r w:rsidRPr="008543FA">
        <w:t>proposed</w:t>
      </w:r>
      <w:r w:rsidRPr="008543FA">
        <w:rPr>
          <w:spacing w:val="-3"/>
        </w:rPr>
        <w:t xml:space="preserve"> </w:t>
      </w:r>
      <w:r w:rsidRPr="008543FA">
        <w:t>by</w:t>
      </w:r>
      <w:r w:rsidRPr="008543FA">
        <w:rPr>
          <w:spacing w:val="-3"/>
        </w:rPr>
        <w:t xml:space="preserve"> </w:t>
      </w:r>
      <w:proofErr w:type="spellStart"/>
      <w:r w:rsidRPr="008543FA">
        <w:t>Simko</w:t>
      </w:r>
      <w:proofErr w:type="spellEnd"/>
      <w:r w:rsidRPr="008543FA">
        <w:rPr>
          <w:spacing w:val="-3"/>
        </w:rPr>
        <w:t xml:space="preserve"> </w:t>
      </w:r>
      <w:r w:rsidRPr="008543FA">
        <w:t>et</w:t>
      </w:r>
      <w:r w:rsidRPr="008543FA">
        <w:rPr>
          <w:spacing w:val="-4"/>
        </w:rPr>
        <w:t xml:space="preserve"> </w:t>
      </w:r>
      <w:r w:rsidRPr="008543FA">
        <w:t>al. in their article “Contesting Commemorative Landscapes: Confederate Monuments and Trajectories of Change” (</w:t>
      </w:r>
      <w:proofErr w:type="spellStart"/>
      <w:r w:rsidRPr="008543FA">
        <w:t>Simko</w:t>
      </w:r>
      <w:proofErr w:type="spellEnd"/>
      <w:r w:rsidRPr="008543FA">
        <w:t xml:space="preserve"> et al. 591). The categories of recontextualization are “expungement, amplification, and repositioning” and are “rooted in material transformations to commemorative objects” (</w:t>
      </w:r>
      <w:proofErr w:type="spellStart"/>
      <w:r w:rsidRPr="008543FA">
        <w:t>Simko</w:t>
      </w:r>
      <w:proofErr w:type="spellEnd"/>
      <w:r w:rsidRPr="008543FA">
        <w:t xml:space="preserve"> et al. 592 and 607). Monuments can also have their meanings changed by the introduction of “counter-monuments” expanding the range of dialogue and</w:t>
      </w:r>
    </w:p>
    <w:p w14:paraId="22D10C4A" w14:textId="77777777" w:rsidR="002D33E9" w:rsidRPr="008543FA" w:rsidRDefault="002D33E9">
      <w:pPr>
        <w:spacing w:line="480" w:lineRule="auto"/>
        <w:rPr>
          <w:sz w:val="24"/>
          <w:szCs w:val="24"/>
        </w:rPr>
        <w:sectPr w:rsidR="002D33E9" w:rsidRPr="008543FA">
          <w:pgSz w:w="12240" w:h="15840"/>
          <w:pgMar w:top="980" w:right="1340" w:bottom="280" w:left="1340" w:header="730" w:footer="0" w:gutter="0"/>
          <w:cols w:space="720"/>
        </w:sectPr>
      </w:pPr>
    </w:p>
    <w:p w14:paraId="48D134AB" w14:textId="77777777" w:rsidR="002D33E9" w:rsidRPr="008543FA" w:rsidRDefault="002D33E9">
      <w:pPr>
        <w:pStyle w:val="BodyText"/>
      </w:pPr>
    </w:p>
    <w:p w14:paraId="1CDE7065" w14:textId="77777777" w:rsidR="002D33E9" w:rsidRPr="008543FA" w:rsidRDefault="002D33E9">
      <w:pPr>
        <w:pStyle w:val="BodyText"/>
      </w:pPr>
    </w:p>
    <w:p w14:paraId="1C8A983A" w14:textId="77777777" w:rsidR="002D33E9" w:rsidRPr="008543FA" w:rsidRDefault="00000000">
      <w:pPr>
        <w:pStyle w:val="BodyText"/>
        <w:spacing w:before="216" w:line="480" w:lineRule="auto"/>
        <w:ind w:left="100" w:right="129"/>
      </w:pPr>
      <w:r w:rsidRPr="008543FA">
        <w:t>interpretations surrounding a work (</w:t>
      </w:r>
      <w:proofErr w:type="spellStart"/>
      <w:r w:rsidRPr="008543FA">
        <w:t>Krzyżanowska</w:t>
      </w:r>
      <w:proofErr w:type="spellEnd"/>
      <w:r w:rsidRPr="008543FA">
        <w:t xml:space="preserve"> 465). Scholar Natalia </w:t>
      </w:r>
      <w:proofErr w:type="spellStart"/>
      <w:r w:rsidRPr="008543FA">
        <w:t>Krzyżanowska</w:t>
      </w:r>
      <w:proofErr w:type="spellEnd"/>
      <w:r w:rsidRPr="008543FA">
        <w:t xml:space="preserve"> theorizes</w:t>
      </w:r>
      <w:r w:rsidRPr="008543FA">
        <w:rPr>
          <w:spacing w:val="-4"/>
        </w:rPr>
        <w:t xml:space="preserve"> </w:t>
      </w:r>
      <w:r w:rsidRPr="008543FA">
        <w:t>that</w:t>
      </w:r>
      <w:r w:rsidRPr="008543FA">
        <w:rPr>
          <w:spacing w:val="-4"/>
        </w:rPr>
        <w:t xml:space="preserve"> </w:t>
      </w:r>
      <w:r w:rsidRPr="008543FA">
        <w:t>adding</w:t>
      </w:r>
      <w:r w:rsidRPr="008543FA">
        <w:rPr>
          <w:spacing w:val="-4"/>
        </w:rPr>
        <w:t xml:space="preserve"> </w:t>
      </w:r>
      <w:r w:rsidRPr="008543FA">
        <w:t>counter-monuments</w:t>
      </w:r>
      <w:r w:rsidRPr="008543FA">
        <w:rPr>
          <w:spacing w:val="-4"/>
        </w:rPr>
        <w:t xml:space="preserve"> </w:t>
      </w:r>
      <w:r w:rsidRPr="008543FA">
        <w:t>enables</w:t>
      </w:r>
      <w:r w:rsidRPr="008543FA">
        <w:rPr>
          <w:spacing w:val="-4"/>
        </w:rPr>
        <w:t xml:space="preserve"> </w:t>
      </w:r>
      <w:r w:rsidRPr="008543FA">
        <w:t>dialogue</w:t>
      </w:r>
      <w:r w:rsidRPr="008543FA">
        <w:rPr>
          <w:spacing w:val="-4"/>
        </w:rPr>
        <w:t xml:space="preserve"> </w:t>
      </w:r>
      <w:r w:rsidRPr="008543FA">
        <w:t>in</w:t>
      </w:r>
      <w:r w:rsidRPr="008543FA">
        <w:rPr>
          <w:spacing w:val="-4"/>
        </w:rPr>
        <w:t xml:space="preserve"> </w:t>
      </w:r>
      <w:r w:rsidRPr="008543FA">
        <w:t>the</w:t>
      </w:r>
      <w:r w:rsidRPr="008543FA">
        <w:rPr>
          <w:spacing w:val="-4"/>
        </w:rPr>
        <w:t xml:space="preserve"> </w:t>
      </w:r>
      <w:r w:rsidRPr="008543FA">
        <w:t>symbolic</w:t>
      </w:r>
      <w:r w:rsidRPr="008543FA">
        <w:rPr>
          <w:spacing w:val="-4"/>
        </w:rPr>
        <w:t xml:space="preserve"> </w:t>
      </w:r>
      <w:r w:rsidRPr="008543FA">
        <w:t>landscape</w:t>
      </w:r>
      <w:r w:rsidRPr="008543FA">
        <w:rPr>
          <w:spacing w:val="-4"/>
        </w:rPr>
        <w:t xml:space="preserve"> </w:t>
      </w:r>
      <w:r w:rsidRPr="008543FA">
        <w:t>and</w:t>
      </w:r>
      <w:r w:rsidRPr="008543FA">
        <w:rPr>
          <w:spacing w:val="-4"/>
        </w:rPr>
        <w:t xml:space="preserve"> </w:t>
      </w:r>
      <w:r w:rsidRPr="008543FA">
        <w:t>allows “commemoration of complex and difficult past events…that are traditionally surrounded by multiple interpretations and often-conflicting attempts to commemorate them” (</w:t>
      </w:r>
      <w:proofErr w:type="spellStart"/>
      <w:r w:rsidRPr="008543FA">
        <w:t>Krzyżanowska</w:t>
      </w:r>
      <w:proofErr w:type="spellEnd"/>
      <w:r w:rsidRPr="008543FA">
        <w:t xml:space="preserve"> 465). Similarly, Jody Stokes-Casey analyzes the protest art of Richard Lou performed at the site of Memphis’s statue to Confederate general Nathan Bedford Forrest and how it “was one of the first artworks to confront the monument and its history through conceptual iconoclasm, or the symbolic</w:t>
      </w:r>
      <w:r w:rsidRPr="008543FA">
        <w:rPr>
          <w:spacing w:val="-3"/>
        </w:rPr>
        <w:t xml:space="preserve"> </w:t>
      </w:r>
      <w:r w:rsidRPr="008543FA">
        <w:t>destruction</w:t>
      </w:r>
      <w:r w:rsidRPr="008543FA">
        <w:rPr>
          <w:spacing w:val="-3"/>
        </w:rPr>
        <w:t xml:space="preserve"> </w:t>
      </w:r>
      <w:r w:rsidRPr="008543FA">
        <w:t>of</w:t>
      </w:r>
      <w:r w:rsidRPr="008543FA">
        <w:rPr>
          <w:spacing w:val="-3"/>
        </w:rPr>
        <w:t xml:space="preserve"> </w:t>
      </w:r>
      <w:r w:rsidRPr="008543FA">
        <w:t>the</w:t>
      </w:r>
      <w:r w:rsidRPr="008543FA">
        <w:rPr>
          <w:spacing w:val="-3"/>
        </w:rPr>
        <w:t xml:space="preserve"> </w:t>
      </w:r>
      <w:r w:rsidRPr="008543FA">
        <w:t>racist</w:t>
      </w:r>
      <w:r w:rsidRPr="008543FA">
        <w:rPr>
          <w:spacing w:val="-3"/>
        </w:rPr>
        <w:t xml:space="preserve"> </w:t>
      </w:r>
      <w:r w:rsidRPr="008543FA">
        <w:t>icons</w:t>
      </w:r>
      <w:r w:rsidRPr="008543FA">
        <w:rPr>
          <w:spacing w:val="-4"/>
        </w:rPr>
        <w:t xml:space="preserve"> </w:t>
      </w:r>
      <w:r w:rsidRPr="008543FA">
        <w:t>and</w:t>
      </w:r>
      <w:r w:rsidRPr="008543FA">
        <w:rPr>
          <w:spacing w:val="-3"/>
        </w:rPr>
        <w:t xml:space="preserve"> </w:t>
      </w:r>
      <w:r w:rsidRPr="008543FA">
        <w:t>institutions</w:t>
      </w:r>
      <w:r w:rsidRPr="008543FA">
        <w:rPr>
          <w:spacing w:val="-4"/>
        </w:rPr>
        <w:t xml:space="preserve"> </w:t>
      </w:r>
      <w:r w:rsidRPr="008543FA">
        <w:t>of</w:t>
      </w:r>
      <w:r w:rsidRPr="008543FA">
        <w:rPr>
          <w:spacing w:val="-3"/>
        </w:rPr>
        <w:t xml:space="preserve"> </w:t>
      </w:r>
      <w:r w:rsidRPr="008543FA">
        <w:t>the</w:t>
      </w:r>
      <w:r w:rsidRPr="008543FA">
        <w:rPr>
          <w:spacing w:val="-3"/>
        </w:rPr>
        <w:t xml:space="preserve"> </w:t>
      </w:r>
      <w:r w:rsidRPr="008543FA">
        <w:t>Old</w:t>
      </w:r>
      <w:r w:rsidRPr="008543FA">
        <w:rPr>
          <w:spacing w:val="-3"/>
        </w:rPr>
        <w:t xml:space="preserve"> </w:t>
      </w:r>
      <w:r w:rsidRPr="008543FA">
        <w:t>South”</w:t>
      </w:r>
      <w:r w:rsidRPr="008543FA">
        <w:rPr>
          <w:spacing w:val="-3"/>
        </w:rPr>
        <w:t xml:space="preserve"> </w:t>
      </w:r>
      <w:r w:rsidRPr="008543FA">
        <w:t>(Stokes-</w:t>
      </w:r>
      <w:proofErr w:type="spellStart"/>
      <w:r w:rsidRPr="008543FA">
        <w:t>Casy</w:t>
      </w:r>
      <w:proofErr w:type="spellEnd"/>
      <w:r w:rsidRPr="008543FA">
        <w:rPr>
          <w:spacing w:val="-3"/>
        </w:rPr>
        <w:t xml:space="preserve"> </w:t>
      </w:r>
      <w:r w:rsidRPr="008543FA">
        <w:t>323-24).</w:t>
      </w:r>
    </w:p>
    <w:p w14:paraId="0BFEB221" w14:textId="77777777" w:rsidR="002D33E9" w:rsidRPr="008543FA" w:rsidRDefault="00000000">
      <w:pPr>
        <w:pStyle w:val="BodyText"/>
        <w:spacing w:line="480" w:lineRule="auto"/>
        <w:ind w:left="100" w:right="129" w:firstLine="720"/>
      </w:pPr>
      <w:r w:rsidRPr="008543FA">
        <w:t>However, in this endeavor to elaborate on monumental memories, it is important to recognize that not all counter-monuments are equally successful in their intended purposes. In 2019, doctoral candidate Carson Kay studied and condemned the proposal of South Carolina Representatives Bill Chumley and Mike Burns for a monument to Black Confederate soldiers as a “reconstruction of public memory” that “would reinforce preexisting structure rather than reimagine</w:t>
      </w:r>
      <w:r w:rsidRPr="008543FA">
        <w:rPr>
          <w:spacing w:val="-3"/>
        </w:rPr>
        <w:t xml:space="preserve"> </w:t>
      </w:r>
      <w:r w:rsidRPr="008543FA">
        <w:t>meaning”</w:t>
      </w:r>
      <w:r w:rsidRPr="008543FA">
        <w:rPr>
          <w:spacing w:val="-3"/>
        </w:rPr>
        <w:t xml:space="preserve"> </w:t>
      </w:r>
      <w:r w:rsidRPr="008543FA">
        <w:t>(Kay</w:t>
      </w:r>
      <w:r w:rsidRPr="008543FA">
        <w:rPr>
          <w:spacing w:val="-3"/>
        </w:rPr>
        <w:t xml:space="preserve"> </w:t>
      </w:r>
      <w:r w:rsidRPr="008543FA">
        <w:t>1).</w:t>
      </w:r>
      <w:r w:rsidRPr="008543FA">
        <w:rPr>
          <w:spacing w:val="-3"/>
        </w:rPr>
        <w:t xml:space="preserve"> </w:t>
      </w:r>
      <w:r w:rsidRPr="008543FA">
        <w:t>Kay</w:t>
      </w:r>
      <w:r w:rsidRPr="008543FA">
        <w:rPr>
          <w:spacing w:val="-3"/>
        </w:rPr>
        <w:t xml:space="preserve"> </w:t>
      </w:r>
      <w:r w:rsidRPr="008543FA">
        <w:t>contends</w:t>
      </w:r>
      <w:r w:rsidRPr="008543FA">
        <w:rPr>
          <w:spacing w:val="-4"/>
        </w:rPr>
        <w:t xml:space="preserve"> </w:t>
      </w:r>
      <w:r w:rsidRPr="008543FA">
        <w:t>that</w:t>
      </w:r>
      <w:r w:rsidRPr="008543FA">
        <w:rPr>
          <w:spacing w:val="-4"/>
        </w:rPr>
        <w:t xml:space="preserve"> </w:t>
      </w:r>
      <w:r w:rsidRPr="008543FA">
        <w:t>the</w:t>
      </w:r>
      <w:r w:rsidRPr="008543FA">
        <w:rPr>
          <w:spacing w:val="-3"/>
        </w:rPr>
        <w:t xml:space="preserve"> </w:t>
      </w:r>
      <w:r w:rsidRPr="008543FA">
        <w:t>mere</w:t>
      </w:r>
      <w:r w:rsidRPr="008543FA">
        <w:rPr>
          <w:spacing w:val="-3"/>
        </w:rPr>
        <w:t xml:space="preserve"> </w:t>
      </w:r>
      <w:r w:rsidRPr="008543FA">
        <w:t>presence</w:t>
      </w:r>
      <w:r w:rsidRPr="008543FA">
        <w:rPr>
          <w:spacing w:val="-3"/>
        </w:rPr>
        <w:t xml:space="preserve"> </w:t>
      </w:r>
      <w:r w:rsidRPr="008543FA">
        <w:t>of</w:t>
      </w:r>
      <w:r w:rsidRPr="008543FA">
        <w:rPr>
          <w:spacing w:val="-3"/>
        </w:rPr>
        <w:t xml:space="preserve"> </w:t>
      </w:r>
      <w:r w:rsidRPr="008543FA">
        <w:t>Black</w:t>
      </w:r>
      <w:r w:rsidRPr="008543FA">
        <w:rPr>
          <w:spacing w:val="-3"/>
        </w:rPr>
        <w:t xml:space="preserve"> </w:t>
      </w:r>
      <w:r w:rsidRPr="008543FA">
        <w:t>memorials</w:t>
      </w:r>
      <w:r w:rsidRPr="008543FA">
        <w:rPr>
          <w:spacing w:val="-4"/>
        </w:rPr>
        <w:t xml:space="preserve"> </w:t>
      </w:r>
      <w:r w:rsidRPr="008543FA">
        <w:t>“does</w:t>
      </w:r>
      <w:r w:rsidRPr="008543FA">
        <w:rPr>
          <w:spacing w:val="-4"/>
        </w:rPr>
        <w:t xml:space="preserve"> </w:t>
      </w:r>
      <w:r w:rsidRPr="008543FA">
        <w:t>not equate</w:t>
      </w:r>
      <w:r w:rsidRPr="008543FA">
        <w:rPr>
          <w:spacing w:val="-2"/>
        </w:rPr>
        <w:t xml:space="preserve"> </w:t>
      </w:r>
      <w:r w:rsidRPr="008543FA">
        <w:t>with</w:t>
      </w:r>
      <w:r w:rsidRPr="008543FA">
        <w:rPr>
          <w:spacing w:val="-1"/>
        </w:rPr>
        <w:t xml:space="preserve"> </w:t>
      </w:r>
      <w:r w:rsidRPr="008543FA">
        <w:t>appropriateness</w:t>
      </w:r>
      <w:r w:rsidRPr="008543FA">
        <w:rPr>
          <w:spacing w:val="-1"/>
        </w:rPr>
        <w:t xml:space="preserve"> </w:t>
      </w:r>
      <w:r w:rsidRPr="008543FA">
        <w:t>of</w:t>
      </w:r>
      <w:r w:rsidRPr="008543FA">
        <w:rPr>
          <w:spacing w:val="-1"/>
        </w:rPr>
        <w:t xml:space="preserve"> </w:t>
      </w:r>
      <w:r w:rsidRPr="008543FA">
        <w:t>these</w:t>
      </w:r>
      <w:r w:rsidRPr="008543FA">
        <w:rPr>
          <w:spacing w:val="-1"/>
        </w:rPr>
        <w:t xml:space="preserve"> </w:t>
      </w:r>
      <w:r w:rsidRPr="008543FA">
        <w:t>structures,</w:t>
      </w:r>
      <w:r w:rsidRPr="008543FA">
        <w:rPr>
          <w:spacing w:val="-1"/>
        </w:rPr>
        <w:t xml:space="preserve"> </w:t>
      </w:r>
      <w:r w:rsidRPr="008543FA">
        <w:t>for</w:t>
      </w:r>
      <w:r w:rsidRPr="008543FA">
        <w:rPr>
          <w:spacing w:val="-1"/>
        </w:rPr>
        <w:t xml:space="preserve"> </w:t>
      </w:r>
      <w:r w:rsidRPr="008543FA">
        <w:t>if</w:t>
      </w:r>
      <w:r w:rsidRPr="008543FA">
        <w:rPr>
          <w:spacing w:val="-1"/>
        </w:rPr>
        <w:t xml:space="preserve"> </w:t>
      </w:r>
      <w:r w:rsidRPr="008543FA">
        <w:t>the</w:t>
      </w:r>
      <w:r w:rsidRPr="008543FA">
        <w:rPr>
          <w:spacing w:val="-2"/>
        </w:rPr>
        <w:t xml:space="preserve"> </w:t>
      </w:r>
      <w:r w:rsidRPr="008543FA">
        <w:t>memory</w:t>
      </w:r>
      <w:r w:rsidRPr="008543FA">
        <w:rPr>
          <w:spacing w:val="-1"/>
        </w:rPr>
        <w:t xml:space="preserve"> </w:t>
      </w:r>
      <w:r w:rsidRPr="008543FA">
        <w:t>they</w:t>
      </w:r>
      <w:r w:rsidRPr="008543FA">
        <w:rPr>
          <w:spacing w:val="-1"/>
        </w:rPr>
        <w:t xml:space="preserve"> </w:t>
      </w:r>
      <w:r w:rsidRPr="008543FA">
        <w:t>pitch</w:t>
      </w:r>
      <w:r w:rsidRPr="008543FA">
        <w:rPr>
          <w:spacing w:val="-1"/>
        </w:rPr>
        <w:t xml:space="preserve"> </w:t>
      </w:r>
      <w:r w:rsidRPr="008543FA">
        <w:t>to</w:t>
      </w:r>
      <w:r w:rsidRPr="008543FA">
        <w:rPr>
          <w:spacing w:val="-1"/>
        </w:rPr>
        <w:t xml:space="preserve"> </w:t>
      </w:r>
      <w:r w:rsidRPr="008543FA">
        <w:t>the</w:t>
      </w:r>
      <w:r w:rsidRPr="008543FA">
        <w:rPr>
          <w:spacing w:val="-1"/>
        </w:rPr>
        <w:t xml:space="preserve"> </w:t>
      </w:r>
      <w:r w:rsidRPr="008543FA">
        <w:t>public</w:t>
      </w:r>
      <w:r w:rsidRPr="008543FA">
        <w:rPr>
          <w:spacing w:val="-1"/>
        </w:rPr>
        <w:t xml:space="preserve"> </w:t>
      </w:r>
      <w:r w:rsidRPr="008543FA">
        <w:t>fails</w:t>
      </w:r>
      <w:r w:rsidRPr="008543FA">
        <w:rPr>
          <w:spacing w:val="-2"/>
        </w:rPr>
        <w:t xml:space="preserve"> </w:t>
      </w:r>
      <w:r w:rsidRPr="008543FA">
        <w:t>to tell Black truth, these monuments are but agents in the continuation of white-washed history and contorted public memory” (Kay 11). Additionally,</w:t>
      </w:r>
      <w:r w:rsidRPr="008543FA">
        <w:rPr>
          <w:spacing w:val="40"/>
        </w:rPr>
        <w:t xml:space="preserve"> </w:t>
      </w:r>
      <w:r w:rsidRPr="008543FA">
        <w:t>as Forest and Johnson note, these strategies run</w:t>
      </w:r>
      <w:r w:rsidRPr="008543FA">
        <w:rPr>
          <w:spacing w:val="-3"/>
        </w:rPr>
        <w:t xml:space="preserve"> </w:t>
      </w:r>
      <w:r w:rsidRPr="008543FA">
        <w:t>the</w:t>
      </w:r>
      <w:r w:rsidRPr="008543FA">
        <w:rPr>
          <w:spacing w:val="-3"/>
        </w:rPr>
        <w:t xml:space="preserve"> </w:t>
      </w:r>
      <w:r w:rsidRPr="008543FA">
        <w:t>risk</w:t>
      </w:r>
      <w:r w:rsidRPr="008543FA">
        <w:rPr>
          <w:spacing w:val="-3"/>
        </w:rPr>
        <w:t xml:space="preserve"> </w:t>
      </w:r>
      <w:r w:rsidRPr="008543FA">
        <w:t>of</w:t>
      </w:r>
      <w:r w:rsidRPr="008543FA">
        <w:rPr>
          <w:spacing w:val="-3"/>
        </w:rPr>
        <w:t xml:space="preserve"> </w:t>
      </w:r>
      <w:r w:rsidRPr="008543FA">
        <w:t>ineffectiveness</w:t>
      </w:r>
      <w:r w:rsidRPr="008543FA">
        <w:rPr>
          <w:spacing w:val="-4"/>
        </w:rPr>
        <w:t xml:space="preserve"> </w:t>
      </w:r>
      <w:r w:rsidRPr="008543FA">
        <w:t>in</w:t>
      </w:r>
      <w:r w:rsidRPr="008543FA">
        <w:rPr>
          <w:spacing w:val="-3"/>
        </w:rPr>
        <w:t xml:space="preserve"> </w:t>
      </w:r>
      <w:r w:rsidRPr="008543FA">
        <w:t>their</w:t>
      </w:r>
      <w:r w:rsidRPr="008543FA">
        <w:rPr>
          <w:spacing w:val="-3"/>
        </w:rPr>
        <w:t xml:space="preserve"> </w:t>
      </w:r>
      <w:r w:rsidRPr="008543FA">
        <w:t>more</w:t>
      </w:r>
      <w:r w:rsidRPr="008543FA">
        <w:rPr>
          <w:spacing w:val="-3"/>
        </w:rPr>
        <w:t xml:space="preserve"> </w:t>
      </w:r>
      <w:r w:rsidRPr="008543FA">
        <w:t>“minimalist,</w:t>
      </w:r>
      <w:r w:rsidRPr="008543FA">
        <w:rPr>
          <w:spacing w:val="-3"/>
        </w:rPr>
        <w:t xml:space="preserve"> </w:t>
      </w:r>
      <w:r w:rsidRPr="008543FA">
        <w:t>unobtrusive”</w:t>
      </w:r>
      <w:r w:rsidRPr="008543FA">
        <w:rPr>
          <w:spacing w:val="-3"/>
        </w:rPr>
        <w:t xml:space="preserve"> </w:t>
      </w:r>
      <w:r w:rsidRPr="008543FA">
        <w:t>forms</w:t>
      </w:r>
      <w:r w:rsidRPr="008543FA">
        <w:rPr>
          <w:spacing w:val="-4"/>
        </w:rPr>
        <w:t xml:space="preserve"> </w:t>
      </w:r>
      <w:r w:rsidRPr="008543FA">
        <w:t>(Forest</w:t>
      </w:r>
      <w:r w:rsidRPr="008543FA">
        <w:rPr>
          <w:spacing w:val="-3"/>
        </w:rPr>
        <w:t xml:space="preserve"> </w:t>
      </w:r>
      <w:r w:rsidRPr="008543FA">
        <w:t>and</w:t>
      </w:r>
      <w:r w:rsidRPr="008543FA">
        <w:rPr>
          <w:spacing w:val="-3"/>
        </w:rPr>
        <w:t xml:space="preserve"> </w:t>
      </w:r>
      <w:r w:rsidRPr="008543FA">
        <w:t xml:space="preserve">Johnson </w:t>
      </w:r>
      <w:r w:rsidRPr="008543FA">
        <w:rPr>
          <w:spacing w:val="-2"/>
        </w:rPr>
        <w:t>130).</w:t>
      </w:r>
    </w:p>
    <w:p w14:paraId="45045349" w14:textId="77777777" w:rsidR="002D33E9" w:rsidRPr="008543FA" w:rsidRDefault="00000000">
      <w:pPr>
        <w:pStyle w:val="BodyText"/>
        <w:spacing w:line="480" w:lineRule="auto"/>
        <w:ind w:left="100" w:right="225" w:firstLine="720"/>
      </w:pPr>
      <w:r w:rsidRPr="008543FA">
        <w:t xml:space="preserve">While much scholarship has centered on Confederate </w:t>
      </w:r>
      <w:proofErr w:type="gramStart"/>
      <w:r w:rsidRPr="008543FA">
        <w:t>iconography as a whole, there</w:t>
      </w:r>
      <w:proofErr w:type="gramEnd"/>
      <w:r w:rsidRPr="008543FA">
        <w:t xml:space="preserve"> remains</w:t>
      </w:r>
      <w:r w:rsidRPr="008543FA">
        <w:rPr>
          <w:spacing w:val="-3"/>
        </w:rPr>
        <w:t xml:space="preserve"> </w:t>
      </w:r>
      <w:r w:rsidRPr="008543FA">
        <w:t>a</w:t>
      </w:r>
      <w:r w:rsidRPr="008543FA">
        <w:rPr>
          <w:spacing w:val="-4"/>
        </w:rPr>
        <w:t xml:space="preserve"> </w:t>
      </w:r>
      <w:r w:rsidRPr="008543FA">
        <w:t>great</w:t>
      </w:r>
      <w:r w:rsidRPr="008543FA">
        <w:rPr>
          <w:spacing w:val="-3"/>
        </w:rPr>
        <w:t xml:space="preserve"> </w:t>
      </w:r>
      <w:r w:rsidRPr="008543FA">
        <w:t>deal</w:t>
      </w:r>
      <w:r w:rsidRPr="008543FA">
        <w:rPr>
          <w:spacing w:val="-4"/>
        </w:rPr>
        <w:t xml:space="preserve"> </w:t>
      </w:r>
      <w:r w:rsidRPr="008543FA">
        <w:t>of</w:t>
      </w:r>
      <w:r w:rsidRPr="008543FA">
        <w:rPr>
          <w:spacing w:val="-3"/>
        </w:rPr>
        <w:t xml:space="preserve"> </w:t>
      </w:r>
      <w:r w:rsidRPr="008543FA">
        <w:t>particular</w:t>
      </w:r>
      <w:r w:rsidRPr="008543FA">
        <w:rPr>
          <w:spacing w:val="-3"/>
        </w:rPr>
        <w:t xml:space="preserve"> </w:t>
      </w:r>
      <w:r w:rsidRPr="008543FA">
        <w:t>work</w:t>
      </w:r>
      <w:r w:rsidRPr="008543FA">
        <w:rPr>
          <w:spacing w:val="-3"/>
        </w:rPr>
        <w:t xml:space="preserve"> </w:t>
      </w:r>
      <w:r w:rsidRPr="008543FA">
        <w:t>to</w:t>
      </w:r>
      <w:r w:rsidRPr="008543FA">
        <w:rPr>
          <w:spacing w:val="-3"/>
        </w:rPr>
        <w:t xml:space="preserve"> </w:t>
      </w:r>
      <w:r w:rsidRPr="008543FA">
        <w:t>be</w:t>
      </w:r>
      <w:r w:rsidRPr="008543FA">
        <w:rPr>
          <w:spacing w:val="-3"/>
        </w:rPr>
        <w:t xml:space="preserve"> </w:t>
      </w:r>
      <w:r w:rsidRPr="008543FA">
        <w:t>done.</w:t>
      </w:r>
      <w:r w:rsidRPr="008543FA">
        <w:rPr>
          <w:spacing w:val="-3"/>
        </w:rPr>
        <w:t xml:space="preserve"> </w:t>
      </w:r>
      <w:r w:rsidRPr="008543FA">
        <w:t>Since</w:t>
      </w:r>
      <w:r w:rsidRPr="008543FA">
        <w:rPr>
          <w:spacing w:val="-3"/>
        </w:rPr>
        <w:t xml:space="preserve"> </w:t>
      </w:r>
      <w:r w:rsidRPr="008543FA">
        <w:t>collective</w:t>
      </w:r>
      <w:r w:rsidRPr="008543FA">
        <w:rPr>
          <w:spacing w:val="-4"/>
        </w:rPr>
        <w:t xml:space="preserve"> </w:t>
      </w:r>
      <w:r w:rsidRPr="008543FA">
        <w:t>memory</w:t>
      </w:r>
      <w:r w:rsidRPr="008543FA">
        <w:rPr>
          <w:spacing w:val="-3"/>
        </w:rPr>
        <w:t xml:space="preserve"> </w:t>
      </w:r>
      <w:r w:rsidRPr="008543FA">
        <w:t>is</w:t>
      </w:r>
      <w:r w:rsidRPr="008543FA">
        <w:rPr>
          <w:spacing w:val="-4"/>
        </w:rPr>
        <w:t xml:space="preserve"> </w:t>
      </w:r>
      <w:r w:rsidRPr="008543FA">
        <w:t>so</w:t>
      </w:r>
      <w:r w:rsidRPr="008543FA">
        <w:rPr>
          <w:spacing w:val="-3"/>
        </w:rPr>
        <w:t xml:space="preserve"> </w:t>
      </w:r>
      <w:r w:rsidRPr="008543FA">
        <w:t>particularly tied to specific places and groups, the narratives surrounding each individual monument will carry distinctive nuances based on their unique locations. Each new battle over collective</w:t>
      </w:r>
    </w:p>
    <w:p w14:paraId="51FBF34E" w14:textId="77777777" w:rsidR="002D33E9" w:rsidRPr="008543FA" w:rsidRDefault="002D33E9">
      <w:pPr>
        <w:spacing w:line="480" w:lineRule="auto"/>
        <w:rPr>
          <w:sz w:val="24"/>
          <w:szCs w:val="24"/>
        </w:rPr>
        <w:sectPr w:rsidR="002D33E9" w:rsidRPr="008543FA">
          <w:pgSz w:w="12240" w:h="15840"/>
          <w:pgMar w:top="980" w:right="1340" w:bottom="280" w:left="1340" w:header="730" w:footer="0" w:gutter="0"/>
          <w:cols w:space="720"/>
        </w:sectPr>
      </w:pPr>
    </w:p>
    <w:p w14:paraId="49B1E4BB" w14:textId="77777777" w:rsidR="002D33E9" w:rsidRPr="008543FA" w:rsidRDefault="002D33E9">
      <w:pPr>
        <w:pStyle w:val="BodyText"/>
      </w:pPr>
    </w:p>
    <w:p w14:paraId="48A0BB44" w14:textId="77777777" w:rsidR="002D33E9" w:rsidRPr="008543FA" w:rsidRDefault="002D33E9">
      <w:pPr>
        <w:pStyle w:val="BodyText"/>
      </w:pPr>
    </w:p>
    <w:p w14:paraId="593CF7AB" w14:textId="77777777" w:rsidR="002D33E9" w:rsidRPr="008543FA" w:rsidRDefault="00000000">
      <w:pPr>
        <w:pStyle w:val="BodyText"/>
        <w:spacing w:before="216" w:line="480" w:lineRule="auto"/>
        <w:ind w:left="100" w:right="225"/>
      </w:pPr>
      <w:r w:rsidRPr="008543FA">
        <w:t>memory</w:t>
      </w:r>
      <w:r w:rsidRPr="008543FA">
        <w:rPr>
          <w:spacing w:val="-3"/>
        </w:rPr>
        <w:t xml:space="preserve"> </w:t>
      </w:r>
      <w:r w:rsidRPr="008543FA">
        <w:t>in</w:t>
      </w:r>
      <w:r w:rsidRPr="008543FA">
        <w:rPr>
          <w:spacing w:val="-3"/>
        </w:rPr>
        <w:t xml:space="preserve"> </w:t>
      </w:r>
      <w:r w:rsidRPr="008543FA">
        <w:t>each</w:t>
      </w:r>
      <w:r w:rsidRPr="008543FA">
        <w:rPr>
          <w:spacing w:val="-3"/>
        </w:rPr>
        <w:t xml:space="preserve"> </w:t>
      </w:r>
      <w:r w:rsidRPr="008543FA">
        <w:t>small</w:t>
      </w:r>
      <w:r w:rsidRPr="008543FA">
        <w:rPr>
          <w:spacing w:val="-4"/>
        </w:rPr>
        <w:t xml:space="preserve"> </w:t>
      </w:r>
      <w:r w:rsidRPr="008543FA">
        <w:t>town</w:t>
      </w:r>
      <w:r w:rsidRPr="008543FA">
        <w:rPr>
          <w:spacing w:val="-3"/>
        </w:rPr>
        <w:t xml:space="preserve"> </w:t>
      </w:r>
      <w:r w:rsidRPr="008543FA">
        <w:t>and</w:t>
      </w:r>
      <w:r w:rsidRPr="008543FA">
        <w:rPr>
          <w:spacing w:val="-3"/>
        </w:rPr>
        <w:t xml:space="preserve"> </w:t>
      </w:r>
      <w:r w:rsidRPr="008543FA">
        <w:t>city</w:t>
      </w:r>
      <w:r w:rsidRPr="008543FA">
        <w:rPr>
          <w:spacing w:val="-3"/>
        </w:rPr>
        <w:t xml:space="preserve"> </w:t>
      </w:r>
      <w:r w:rsidRPr="008543FA">
        <w:t>creates</w:t>
      </w:r>
      <w:r w:rsidRPr="008543FA">
        <w:rPr>
          <w:spacing w:val="-4"/>
        </w:rPr>
        <w:t xml:space="preserve"> </w:t>
      </w:r>
      <w:r w:rsidRPr="008543FA">
        <w:t>a</w:t>
      </w:r>
      <w:r w:rsidRPr="008543FA">
        <w:rPr>
          <w:spacing w:val="-3"/>
        </w:rPr>
        <w:t xml:space="preserve"> </w:t>
      </w:r>
      <w:r w:rsidRPr="008543FA">
        <w:t>fresh</w:t>
      </w:r>
      <w:r w:rsidRPr="008543FA">
        <w:rPr>
          <w:spacing w:val="-3"/>
        </w:rPr>
        <w:t xml:space="preserve"> </w:t>
      </w:r>
      <w:r w:rsidRPr="008543FA">
        <w:t>opportunity</w:t>
      </w:r>
      <w:r w:rsidRPr="008543FA">
        <w:rPr>
          <w:spacing w:val="-4"/>
        </w:rPr>
        <w:t xml:space="preserve"> </w:t>
      </w:r>
      <w:r w:rsidRPr="008543FA">
        <w:t>for</w:t>
      </w:r>
      <w:r w:rsidRPr="008543FA">
        <w:rPr>
          <w:spacing w:val="-4"/>
        </w:rPr>
        <w:t xml:space="preserve"> </w:t>
      </w:r>
      <w:r w:rsidRPr="008543FA">
        <w:t>research.</w:t>
      </w:r>
      <w:r w:rsidRPr="008543FA">
        <w:rPr>
          <w:spacing w:val="-3"/>
        </w:rPr>
        <w:t xml:space="preserve"> </w:t>
      </w:r>
      <w:r w:rsidRPr="008543FA">
        <w:t>In</w:t>
      </w:r>
      <w:r w:rsidRPr="008543FA">
        <w:rPr>
          <w:spacing w:val="-3"/>
        </w:rPr>
        <w:t xml:space="preserve"> </w:t>
      </w:r>
      <w:r w:rsidRPr="008543FA">
        <w:t>Rome,</w:t>
      </w:r>
      <w:r w:rsidRPr="008543FA">
        <w:rPr>
          <w:spacing w:val="-3"/>
        </w:rPr>
        <w:t xml:space="preserve"> </w:t>
      </w:r>
      <w:r w:rsidRPr="008543FA">
        <w:t>Georgia, although much attention was given to the city’s most prominent Confederate monument during the controversy in 2020, public attention to the work has largely died out since. However, since the statue itself has gone through a storied history involving several different modes of recontextualization, it makes a particularly interesting case-study for a textual analysis. This paper examines how each successive controversy and modification of Rome’s monument to Confederate</w:t>
      </w:r>
      <w:r w:rsidRPr="008543FA">
        <w:rPr>
          <w:spacing w:val="-3"/>
        </w:rPr>
        <w:t xml:space="preserve"> </w:t>
      </w:r>
      <w:r w:rsidRPr="008543FA">
        <w:t>General</w:t>
      </w:r>
      <w:r w:rsidRPr="008543FA">
        <w:rPr>
          <w:spacing w:val="-3"/>
        </w:rPr>
        <w:t xml:space="preserve"> </w:t>
      </w:r>
      <w:r w:rsidRPr="008543FA">
        <w:t>Nathan</w:t>
      </w:r>
      <w:r w:rsidRPr="008543FA">
        <w:rPr>
          <w:spacing w:val="-4"/>
        </w:rPr>
        <w:t xml:space="preserve"> </w:t>
      </w:r>
      <w:r w:rsidRPr="008543FA">
        <w:t>Bedford</w:t>
      </w:r>
      <w:r w:rsidRPr="008543FA">
        <w:rPr>
          <w:spacing w:val="-3"/>
        </w:rPr>
        <w:t xml:space="preserve"> </w:t>
      </w:r>
      <w:r w:rsidRPr="008543FA">
        <w:t>Forrest</w:t>
      </w:r>
      <w:r w:rsidRPr="008543FA">
        <w:rPr>
          <w:spacing w:val="-4"/>
        </w:rPr>
        <w:t xml:space="preserve"> </w:t>
      </w:r>
      <w:r w:rsidRPr="008543FA">
        <w:t>has</w:t>
      </w:r>
      <w:r w:rsidRPr="008543FA">
        <w:rPr>
          <w:spacing w:val="-4"/>
        </w:rPr>
        <w:t xml:space="preserve"> </w:t>
      </w:r>
      <w:r w:rsidRPr="008543FA">
        <w:t>altered</w:t>
      </w:r>
      <w:r w:rsidRPr="008543FA">
        <w:rPr>
          <w:spacing w:val="-3"/>
        </w:rPr>
        <w:t xml:space="preserve"> </w:t>
      </w:r>
      <w:r w:rsidRPr="008543FA">
        <w:t>its</w:t>
      </w:r>
      <w:r w:rsidRPr="008543FA">
        <w:rPr>
          <w:spacing w:val="-4"/>
        </w:rPr>
        <w:t xml:space="preserve"> </w:t>
      </w:r>
      <w:r w:rsidRPr="008543FA">
        <w:t>original</w:t>
      </w:r>
      <w:r w:rsidRPr="008543FA">
        <w:rPr>
          <w:spacing w:val="-3"/>
        </w:rPr>
        <w:t xml:space="preserve"> </w:t>
      </w:r>
      <w:r w:rsidRPr="008543FA">
        <w:t>meaning</w:t>
      </w:r>
      <w:r w:rsidRPr="008543FA">
        <w:rPr>
          <w:spacing w:val="-3"/>
        </w:rPr>
        <w:t xml:space="preserve"> </w:t>
      </w:r>
      <w:r w:rsidRPr="008543FA">
        <w:t>and</w:t>
      </w:r>
      <w:r w:rsidRPr="008543FA">
        <w:rPr>
          <w:spacing w:val="-3"/>
        </w:rPr>
        <w:t xml:space="preserve"> </w:t>
      </w:r>
      <w:r w:rsidRPr="008543FA">
        <w:t>contributed</w:t>
      </w:r>
      <w:r w:rsidRPr="008543FA">
        <w:rPr>
          <w:spacing w:val="-3"/>
        </w:rPr>
        <w:t xml:space="preserve"> </w:t>
      </w:r>
      <w:r w:rsidRPr="008543FA">
        <w:t>to a narrative of ambivalence toward the city’s racial past.</w:t>
      </w:r>
    </w:p>
    <w:p w14:paraId="0BC4C2BF" w14:textId="77777777" w:rsidR="002D33E9" w:rsidRPr="008543FA" w:rsidRDefault="002D33E9">
      <w:pPr>
        <w:pStyle w:val="BodyText"/>
      </w:pPr>
    </w:p>
    <w:p w14:paraId="166FDE40" w14:textId="77777777" w:rsidR="002D33E9" w:rsidRPr="008543FA" w:rsidRDefault="002D33E9">
      <w:pPr>
        <w:pStyle w:val="BodyText"/>
      </w:pPr>
    </w:p>
    <w:p w14:paraId="5CADEDF4" w14:textId="77777777" w:rsidR="002D33E9" w:rsidRPr="008543FA" w:rsidRDefault="00000000">
      <w:pPr>
        <w:pStyle w:val="BodyText"/>
        <w:spacing w:before="216"/>
        <w:ind w:left="3896" w:right="3896"/>
        <w:jc w:val="center"/>
      </w:pPr>
      <w:r w:rsidRPr="008543FA">
        <w:t>Works</w:t>
      </w:r>
      <w:r w:rsidRPr="008543FA">
        <w:rPr>
          <w:spacing w:val="-5"/>
        </w:rPr>
        <w:t xml:space="preserve"> </w:t>
      </w:r>
      <w:r w:rsidRPr="008543FA">
        <w:rPr>
          <w:spacing w:val="-2"/>
        </w:rPr>
        <w:t>Cited</w:t>
      </w:r>
    </w:p>
    <w:p w14:paraId="178E8608" w14:textId="77777777" w:rsidR="002D33E9" w:rsidRPr="008543FA" w:rsidRDefault="002D33E9">
      <w:pPr>
        <w:pStyle w:val="BodyText"/>
      </w:pPr>
    </w:p>
    <w:p w14:paraId="51B892F5" w14:textId="77777777" w:rsidR="002D33E9" w:rsidRPr="008543FA" w:rsidRDefault="00000000" w:rsidP="008543FA">
      <w:pPr>
        <w:pStyle w:val="BodyText"/>
      </w:pPr>
      <w:r w:rsidRPr="008543FA">
        <w:t>Carroll,</w:t>
      </w:r>
      <w:r w:rsidRPr="008543FA">
        <w:rPr>
          <w:spacing w:val="-5"/>
        </w:rPr>
        <w:t xml:space="preserve"> </w:t>
      </w:r>
      <w:r w:rsidRPr="008543FA">
        <w:t>Brian.</w:t>
      </w:r>
      <w:r w:rsidRPr="008543FA">
        <w:rPr>
          <w:spacing w:val="-5"/>
        </w:rPr>
        <w:t xml:space="preserve"> </w:t>
      </w:r>
      <w:r w:rsidRPr="008543FA">
        <w:t>“Monumental</w:t>
      </w:r>
      <w:r w:rsidRPr="008543FA">
        <w:rPr>
          <w:spacing w:val="-5"/>
        </w:rPr>
        <w:t xml:space="preserve"> </w:t>
      </w:r>
      <w:r w:rsidRPr="008543FA">
        <w:t>Discord:</w:t>
      </w:r>
      <w:r w:rsidRPr="008543FA">
        <w:rPr>
          <w:spacing w:val="-5"/>
        </w:rPr>
        <w:t xml:space="preserve"> </w:t>
      </w:r>
      <w:r w:rsidRPr="008543FA">
        <w:t>Savannah’s</w:t>
      </w:r>
      <w:r w:rsidRPr="008543FA">
        <w:rPr>
          <w:spacing w:val="-5"/>
        </w:rPr>
        <w:t xml:space="preserve"> </w:t>
      </w:r>
      <w:r w:rsidRPr="008543FA">
        <w:t>Remembering</w:t>
      </w:r>
      <w:r w:rsidRPr="008543FA">
        <w:rPr>
          <w:spacing w:val="-5"/>
        </w:rPr>
        <w:t xml:space="preserve"> </w:t>
      </w:r>
      <w:r w:rsidRPr="008543FA">
        <w:t>(and</w:t>
      </w:r>
      <w:r w:rsidRPr="008543FA">
        <w:rPr>
          <w:spacing w:val="-5"/>
        </w:rPr>
        <w:t xml:space="preserve"> </w:t>
      </w:r>
      <w:r w:rsidRPr="008543FA">
        <w:t>Forgetting)</w:t>
      </w:r>
      <w:r w:rsidRPr="008543FA">
        <w:rPr>
          <w:spacing w:val="-5"/>
        </w:rPr>
        <w:t xml:space="preserve"> </w:t>
      </w:r>
      <w:r w:rsidRPr="008543FA">
        <w:t>of</w:t>
      </w:r>
      <w:r w:rsidRPr="008543FA">
        <w:rPr>
          <w:spacing w:val="-5"/>
        </w:rPr>
        <w:t xml:space="preserve"> </w:t>
      </w:r>
      <w:r w:rsidRPr="008543FA">
        <w:t>Its Enslaved.” Visual Communication Quarterly, vol. 25, no. 3, 2018, pp. 156–167.,</w:t>
      </w:r>
    </w:p>
    <w:p w14:paraId="35318BE6" w14:textId="1CA49BB6" w:rsidR="002D33E9" w:rsidRPr="008543FA" w:rsidRDefault="00000000" w:rsidP="008543FA">
      <w:pPr>
        <w:pStyle w:val="BodyText"/>
      </w:pPr>
      <w:hyperlink r:id="rId9">
        <w:r w:rsidRPr="008543FA">
          <w:rPr>
            <w:color w:val="1155CC"/>
            <w:u w:val="single" w:color="1155CC"/>
          </w:rPr>
          <w:t>https://doi.org/10.1080/15551393.2018.1491736</w:t>
        </w:r>
      </w:hyperlink>
      <w:r w:rsidRPr="008543FA">
        <w:t>.</w:t>
      </w:r>
      <w:r w:rsidRPr="008543FA">
        <w:rPr>
          <w:spacing w:val="-1"/>
        </w:rPr>
        <w:t xml:space="preserve"> </w:t>
      </w:r>
      <w:r w:rsidRPr="008543FA">
        <w:t xml:space="preserve">Accessed 23 Sep. </w:t>
      </w:r>
      <w:r w:rsidRPr="008543FA">
        <w:rPr>
          <w:spacing w:val="-2"/>
        </w:rPr>
        <w:t>2022.</w:t>
      </w:r>
    </w:p>
    <w:p w14:paraId="48D0BDA9" w14:textId="77777777" w:rsidR="002D33E9" w:rsidRPr="008543FA" w:rsidRDefault="002D33E9" w:rsidP="008543FA">
      <w:pPr>
        <w:pStyle w:val="BodyText"/>
      </w:pPr>
    </w:p>
    <w:p w14:paraId="726AC220" w14:textId="77777777" w:rsidR="008543FA" w:rsidRPr="008543FA" w:rsidRDefault="00000000" w:rsidP="008543FA">
      <w:pPr>
        <w:pStyle w:val="BodyText"/>
        <w:rPr>
          <w:spacing w:val="-2"/>
        </w:rPr>
      </w:pPr>
      <w:r w:rsidRPr="008543FA">
        <w:t>Evans,</w:t>
      </w:r>
      <w:r w:rsidRPr="008543FA">
        <w:rPr>
          <w:spacing w:val="-4"/>
        </w:rPr>
        <w:t xml:space="preserve"> </w:t>
      </w:r>
      <w:r w:rsidRPr="008543FA">
        <w:t>Sara</w:t>
      </w:r>
      <w:r w:rsidRPr="008543FA">
        <w:rPr>
          <w:spacing w:val="-4"/>
        </w:rPr>
        <w:t xml:space="preserve"> </w:t>
      </w:r>
      <w:r w:rsidRPr="008543FA">
        <w:t>Z.</w:t>
      </w:r>
      <w:r w:rsidRPr="008543FA">
        <w:rPr>
          <w:spacing w:val="-4"/>
        </w:rPr>
        <w:t xml:space="preserve"> </w:t>
      </w:r>
      <w:r w:rsidRPr="008543FA">
        <w:t>“The</w:t>
      </w:r>
      <w:r w:rsidRPr="008543FA">
        <w:rPr>
          <w:spacing w:val="-4"/>
        </w:rPr>
        <w:t xml:space="preserve"> </w:t>
      </w:r>
      <w:r w:rsidRPr="008543FA">
        <w:t>Removal</w:t>
      </w:r>
      <w:r w:rsidRPr="008543FA">
        <w:rPr>
          <w:spacing w:val="-5"/>
        </w:rPr>
        <w:t xml:space="preserve"> </w:t>
      </w:r>
      <w:r w:rsidRPr="008543FA">
        <w:t>of</w:t>
      </w:r>
      <w:r w:rsidRPr="008543FA">
        <w:rPr>
          <w:spacing w:val="-4"/>
        </w:rPr>
        <w:t xml:space="preserve"> </w:t>
      </w:r>
      <w:r w:rsidRPr="008543FA">
        <w:t>Confederate</w:t>
      </w:r>
      <w:r w:rsidRPr="008543FA">
        <w:rPr>
          <w:spacing w:val="-4"/>
        </w:rPr>
        <w:t xml:space="preserve"> </w:t>
      </w:r>
      <w:r w:rsidRPr="008543FA">
        <w:t>Monuments:</w:t>
      </w:r>
      <w:r w:rsidRPr="008543FA">
        <w:rPr>
          <w:spacing w:val="-4"/>
        </w:rPr>
        <w:t xml:space="preserve"> </w:t>
      </w:r>
      <w:r w:rsidRPr="008543FA">
        <w:t>Reflections</w:t>
      </w:r>
      <w:r w:rsidRPr="008543FA">
        <w:rPr>
          <w:spacing w:val="-5"/>
        </w:rPr>
        <w:t xml:space="preserve"> </w:t>
      </w:r>
      <w:r w:rsidRPr="008543FA">
        <w:t>on</w:t>
      </w:r>
      <w:r w:rsidRPr="008543FA">
        <w:rPr>
          <w:spacing w:val="-4"/>
        </w:rPr>
        <w:t xml:space="preserve"> </w:t>
      </w:r>
      <w:r w:rsidRPr="008543FA">
        <w:t>Power</w:t>
      </w:r>
      <w:r w:rsidRPr="008543FA">
        <w:rPr>
          <w:spacing w:val="-4"/>
        </w:rPr>
        <w:t xml:space="preserve"> </w:t>
      </w:r>
      <w:r w:rsidRPr="008543FA">
        <w:t xml:space="preserve">and Privilege in Shared Spaces.” Social Science Quarterly, 2021, </w:t>
      </w:r>
      <w:hyperlink r:id="rId10">
        <w:r w:rsidRPr="008543FA">
          <w:rPr>
            <w:color w:val="1155CC"/>
            <w:spacing w:val="-2"/>
            <w:u w:val="single" w:color="1155CC"/>
          </w:rPr>
          <w:t>https://doi.org/10.1111/ssqu.12965</w:t>
        </w:r>
      </w:hyperlink>
      <w:r w:rsidRPr="008543FA">
        <w:rPr>
          <w:spacing w:val="-2"/>
        </w:rPr>
        <w:t>.</w:t>
      </w:r>
    </w:p>
    <w:p w14:paraId="79F42635" w14:textId="77777777" w:rsidR="008543FA" w:rsidRPr="008543FA" w:rsidRDefault="008543FA" w:rsidP="008543FA">
      <w:pPr>
        <w:pStyle w:val="BodyText"/>
        <w:rPr>
          <w:spacing w:val="-2"/>
        </w:rPr>
      </w:pPr>
    </w:p>
    <w:p w14:paraId="2BC8E2E2" w14:textId="04A646BB" w:rsidR="002D33E9" w:rsidRPr="008543FA" w:rsidRDefault="00000000" w:rsidP="008543FA">
      <w:pPr>
        <w:pStyle w:val="BodyText"/>
      </w:pPr>
      <w:r w:rsidRPr="008543FA">
        <w:t>Forest,</w:t>
      </w:r>
      <w:r w:rsidRPr="008543FA">
        <w:rPr>
          <w:spacing w:val="-4"/>
        </w:rPr>
        <w:t xml:space="preserve"> </w:t>
      </w:r>
      <w:r w:rsidRPr="008543FA">
        <w:t>Benjamin,</w:t>
      </w:r>
      <w:r w:rsidRPr="008543FA">
        <w:rPr>
          <w:spacing w:val="-4"/>
        </w:rPr>
        <w:t xml:space="preserve"> </w:t>
      </w:r>
      <w:r w:rsidRPr="008543FA">
        <w:t>and</w:t>
      </w:r>
      <w:r w:rsidRPr="008543FA">
        <w:rPr>
          <w:spacing w:val="-4"/>
        </w:rPr>
        <w:t xml:space="preserve"> </w:t>
      </w:r>
      <w:r w:rsidRPr="008543FA">
        <w:t>Juliet</w:t>
      </w:r>
      <w:r w:rsidRPr="008543FA">
        <w:rPr>
          <w:spacing w:val="-4"/>
        </w:rPr>
        <w:t xml:space="preserve"> </w:t>
      </w:r>
      <w:r w:rsidRPr="008543FA">
        <w:t>Johnson.</w:t>
      </w:r>
      <w:r w:rsidRPr="008543FA">
        <w:rPr>
          <w:spacing w:val="-4"/>
        </w:rPr>
        <w:t xml:space="preserve"> </w:t>
      </w:r>
      <w:r w:rsidRPr="008543FA">
        <w:t>“Confederate</w:t>
      </w:r>
      <w:r w:rsidRPr="008543FA">
        <w:rPr>
          <w:spacing w:val="-4"/>
        </w:rPr>
        <w:t xml:space="preserve"> </w:t>
      </w:r>
      <w:r w:rsidRPr="008543FA">
        <w:t>Monuments</w:t>
      </w:r>
      <w:r w:rsidRPr="008543FA">
        <w:rPr>
          <w:spacing w:val="-5"/>
        </w:rPr>
        <w:t xml:space="preserve"> </w:t>
      </w:r>
      <w:r w:rsidRPr="008543FA">
        <w:t>and</w:t>
      </w:r>
      <w:r w:rsidRPr="008543FA">
        <w:rPr>
          <w:spacing w:val="-4"/>
        </w:rPr>
        <w:t xml:space="preserve"> </w:t>
      </w:r>
      <w:r w:rsidRPr="008543FA">
        <w:t>the</w:t>
      </w:r>
      <w:r w:rsidRPr="008543FA">
        <w:rPr>
          <w:spacing w:val="-4"/>
        </w:rPr>
        <w:t xml:space="preserve"> </w:t>
      </w:r>
      <w:r w:rsidRPr="008543FA">
        <w:t>Problem</w:t>
      </w:r>
      <w:r w:rsidRPr="008543FA">
        <w:rPr>
          <w:spacing w:val="-4"/>
        </w:rPr>
        <w:t xml:space="preserve"> </w:t>
      </w:r>
      <w:r w:rsidRPr="008543FA">
        <w:t>of Forgetting.” Cultural Geographies, vol. 26, no. 1, 2018, pp. 127–131.,</w:t>
      </w:r>
    </w:p>
    <w:p w14:paraId="54B4C20E" w14:textId="77777777" w:rsidR="002D33E9" w:rsidRPr="008543FA" w:rsidRDefault="00000000" w:rsidP="008543FA">
      <w:pPr>
        <w:pStyle w:val="BodyText"/>
      </w:pPr>
      <w:hyperlink r:id="rId11">
        <w:r w:rsidRPr="008543FA">
          <w:rPr>
            <w:color w:val="1155CC"/>
            <w:u w:val="single" w:color="1155CC"/>
          </w:rPr>
          <w:t>https://doi.org/10.1177/1474474018796653</w:t>
        </w:r>
      </w:hyperlink>
      <w:r w:rsidRPr="008543FA">
        <w:t>.</w:t>
      </w:r>
      <w:r w:rsidRPr="008543FA">
        <w:rPr>
          <w:spacing w:val="-1"/>
        </w:rPr>
        <w:t xml:space="preserve"> </w:t>
      </w:r>
      <w:r w:rsidRPr="008543FA">
        <w:t xml:space="preserve">Accessed 23 Sep. </w:t>
      </w:r>
      <w:r w:rsidRPr="008543FA">
        <w:rPr>
          <w:spacing w:val="-2"/>
        </w:rPr>
        <w:t>2022.</w:t>
      </w:r>
    </w:p>
    <w:p w14:paraId="5C4B9F46" w14:textId="77777777" w:rsidR="002D33E9" w:rsidRPr="008543FA" w:rsidRDefault="002D33E9" w:rsidP="008543FA">
      <w:pPr>
        <w:pStyle w:val="BodyText"/>
      </w:pPr>
    </w:p>
    <w:p w14:paraId="5C2A3252" w14:textId="77777777" w:rsidR="002D33E9" w:rsidRPr="008543FA" w:rsidRDefault="00000000" w:rsidP="008543FA">
      <w:pPr>
        <w:pStyle w:val="BodyText"/>
      </w:pPr>
      <w:proofErr w:type="spellStart"/>
      <w:r w:rsidRPr="008543FA">
        <w:t>Halbwachs</w:t>
      </w:r>
      <w:proofErr w:type="spellEnd"/>
      <w:r w:rsidRPr="008543FA">
        <w:t>,</w:t>
      </w:r>
      <w:r w:rsidRPr="008543FA">
        <w:rPr>
          <w:spacing w:val="-4"/>
        </w:rPr>
        <w:t xml:space="preserve"> </w:t>
      </w:r>
      <w:r w:rsidRPr="008543FA">
        <w:t>Maurice.</w:t>
      </w:r>
      <w:r w:rsidRPr="008543FA">
        <w:rPr>
          <w:spacing w:val="-4"/>
        </w:rPr>
        <w:t xml:space="preserve"> </w:t>
      </w:r>
      <w:r w:rsidRPr="008543FA">
        <w:t>“Maurice</w:t>
      </w:r>
      <w:r w:rsidRPr="008543FA">
        <w:rPr>
          <w:spacing w:val="-4"/>
        </w:rPr>
        <w:t xml:space="preserve"> </w:t>
      </w:r>
      <w:proofErr w:type="spellStart"/>
      <w:r w:rsidRPr="008543FA">
        <w:t>Halbwachs</w:t>
      </w:r>
      <w:proofErr w:type="spellEnd"/>
      <w:r w:rsidRPr="008543FA">
        <w:t>:</w:t>
      </w:r>
      <w:r w:rsidRPr="008543FA">
        <w:rPr>
          <w:spacing w:val="-5"/>
        </w:rPr>
        <w:t xml:space="preserve"> </w:t>
      </w:r>
      <w:r w:rsidRPr="008543FA">
        <w:t>From</w:t>
      </w:r>
      <w:r w:rsidRPr="008543FA">
        <w:rPr>
          <w:spacing w:val="-4"/>
        </w:rPr>
        <w:t xml:space="preserve"> </w:t>
      </w:r>
      <w:proofErr w:type="gramStart"/>
      <w:r w:rsidRPr="008543FA">
        <w:t>The</w:t>
      </w:r>
      <w:proofErr w:type="gramEnd"/>
      <w:r w:rsidRPr="008543FA">
        <w:rPr>
          <w:spacing w:val="-5"/>
        </w:rPr>
        <w:t xml:space="preserve"> </w:t>
      </w:r>
      <w:r w:rsidRPr="008543FA">
        <w:t>Collective</w:t>
      </w:r>
      <w:r w:rsidRPr="008543FA">
        <w:rPr>
          <w:spacing w:val="-4"/>
        </w:rPr>
        <w:t xml:space="preserve"> </w:t>
      </w:r>
      <w:r w:rsidRPr="008543FA">
        <w:t>Memory.”</w:t>
      </w:r>
      <w:r w:rsidRPr="008543FA">
        <w:rPr>
          <w:spacing w:val="-4"/>
        </w:rPr>
        <w:t xml:space="preserve"> </w:t>
      </w:r>
      <w:r w:rsidRPr="008543FA">
        <w:t>Theories</w:t>
      </w:r>
      <w:r w:rsidRPr="008543FA">
        <w:rPr>
          <w:spacing w:val="-5"/>
        </w:rPr>
        <w:t xml:space="preserve"> </w:t>
      </w:r>
      <w:r w:rsidRPr="008543FA">
        <w:t xml:space="preserve">of Memory: A Reader. Edited by Michael Rossington, Anne Whitehead, Linda Anderson, and Kate </w:t>
      </w:r>
      <w:proofErr w:type="spellStart"/>
      <w:r w:rsidRPr="008543FA">
        <w:t>Chedgzoy</w:t>
      </w:r>
      <w:proofErr w:type="spellEnd"/>
      <w:r w:rsidRPr="008543FA">
        <w:t xml:space="preserve">, Pablo Mukherjee, Jennifer Richards and Michael Rossington, Edinburgh University Press, 1980, pp. 139-143. JSTOR, </w:t>
      </w:r>
      <w:hyperlink r:id="rId12">
        <w:r w:rsidRPr="008543FA">
          <w:rPr>
            <w:color w:val="1155CC"/>
            <w:u w:val="single" w:color="1155CC"/>
          </w:rPr>
          <w:t>https://www.jstor.org/stable/10.3366/j.ctvxcrvk7.25</w:t>
        </w:r>
      </w:hyperlink>
      <w:r w:rsidRPr="008543FA">
        <w:t>. Accessed 17 Oct. 2022.</w:t>
      </w:r>
    </w:p>
    <w:p w14:paraId="59D95139" w14:textId="77777777" w:rsidR="002D33E9" w:rsidRPr="008543FA" w:rsidRDefault="002D33E9" w:rsidP="008543FA">
      <w:pPr>
        <w:pStyle w:val="BodyText"/>
      </w:pPr>
    </w:p>
    <w:p w14:paraId="010DE4F5" w14:textId="67906536" w:rsidR="002D33E9" w:rsidRPr="008543FA" w:rsidRDefault="00000000" w:rsidP="008543FA">
      <w:pPr>
        <w:pStyle w:val="BodyText"/>
      </w:pPr>
      <w:r w:rsidRPr="008543FA">
        <w:t>Heyse, Amy. “Women’s Rhetorical Authority and Collective Memory: The United Daughters</w:t>
      </w:r>
      <w:r w:rsidRPr="008543FA">
        <w:rPr>
          <w:spacing w:val="-4"/>
        </w:rPr>
        <w:t xml:space="preserve"> </w:t>
      </w:r>
      <w:r w:rsidRPr="008543FA">
        <w:t>of</w:t>
      </w:r>
      <w:r w:rsidRPr="008543FA">
        <w:rPr>
          <w:spacing w:val="-3"/>
        </w:rPr>
        <w:t xml:space="preserve"> </w:t>
      </w:r>
      <w:r w:rsidRPr="008543FA">
        <w:t>the</w:t>
      </w:r>
      <w:r w:rsidRPr="008543FA">
        <w:rPr>
          <w:spacing w:val="-3"/>
        </w:rPr>
        <w:t xml:space="preserve"> </w:t>
      </w:r>
      <w:r w:rsidRPr="008543FA">
        <w:t>Confederacy</w:t>
      </w:r>
      <w:r w:rsidRPr="008543FA">
        <w:rPr>
          <w:spacing w:val="-3"/>
        </w:rPr>
        <w:t xml:space="preserve"> </w:t>
      </w:r>
      <w:r w:rsidRPr="008543FA">
        <w:t>Remember</w:t>
      </w:r>
      <w:r w:rsidRPr="008543FA">
        <w:rPr>
          <w:spacing w:val="-3"/>
        </w:rPr>
        <w:t xml:space="preserve"> </w:t>
      </w:r>
      <w:r w:rsidRPr="008543FA">
        <w:t>the</w:t>
      </w:r>
      <w:r w:rsidRPr="008543FA">
        <w:rPr>
          <w:spacing w:val="-3"/>
        </w:rPr>
        <w:t xml:space="preserve"> </w:t>
      </w:r>
      <w:r w:rsidRPr="008543FA">
        <w:t>South.”</w:t>
      </w:r>
      <w:r w:rsidRPr="008543FA">
        <w:rPr>
          <w:spacing w:val="-3"/>
        </w:rPr>
        <w:t xml:space="preserve"> </w:t>
      </w:r>
      <w:r w:rsidRPr="008543FA">
        <w:t>Women</w:t>
      </w:r>
      <w:r w:rsidRPr="008543FA">
        <w:rPr>
          <w:spacing w:val="-3"/>
        </w:rPr>
        <w:t xml:space="preserve"> </w:t>
      </w:r>
      <w:r w:rsidRPr="008543FA">
        <w:t>&amp;</w:t>
      </w:r>
      <w:r w:rsidRPr="008543FA">
        <w:rPr>
          <w:spacing w:val="-4"/>
        </w:rPr>
        <w:t xml:space="preserve"> </w:t>
      </w:r>
      <w:r w:rsidRPr="008543FA">
        <w:t>Language,</w:t>
      </w:r>
      <w:r w:rsidRPr="008543FA">
        <w:rPr>
          <w:spacing w:val="-3"/>
        </w:rPr>
        <w:t xml:space="preserve"> </w:t>
      </w:r>
      <w:r w:rsidRPr="008543FA">
        <w:t>vol.</w:t>
      </w:r>
      <w:r w:rsidRPr="008543FA">
        <w:rPr>
          <w:spacing w:val="-3"/>
        </w:rPr>
        <w:t xml:space="preserve"> </w:t>
      </w:r>
      <w:r w:rsidRPr="008543FA">
        <w:t>33,</w:t>
      </w:r>
      <w:r w:rsidRPr="008543FA">
        <w:rPr>
          <w:spacing w:val="-3"/>
        </w:rPr>
        <w:t xml:space="preserve"> </w:t>
      </w:r>
      <w:r w:rsidRPr="008543FA">
        <w:t>no.</w:t>
      </w:r>
      <w:r w:rsidRPr="008543FA">
        <w:rPr>
          <w:spacing w:val="-3"/>
        </w:rPr>
        <w:t xml:space="preserve"> </w:t>
      </w:r>
      <w:r w:rsidRPr="008543FA">
        <w:t>2, Fall 2010, pp. 31–53. EBSCOhost,</w:t>
      </w:r>
      <w:r w:rsidR="008543FA" w:rsidRPr="008543FA">
        <w:t xml:space="preserve"> </w:t>
      </w:r>
      <w:hyperlink r:id="rId13">
        <w:r w:rsidRPr="008543FA">
          <w:rPr>
            <w:color w:val="1155CC"/>
            <w:spacing w:val="-2"/>
            <w:u w:val="single" w:color="1155CC"/>
          </w:rPr>
          <w:t>https://search.ebscohost.com/login.aspx?direct=true&amp;AuthType=ip,shib&amp;db=cms&amp;AN=</w:t>
        </w:r>
      </w:hyperlink>
    </w:p>
    <w:p w14:paraId="0D15380A" w14:textId="77777777" w:rsidR="002D33E9" w:rsidRPr="008543FA" w:rsidRDefault="00000000" w:rsidP="008543FA">
      <w:pPr>
        <w:pStyle w:val="BodyText"/>
      </w:pPr>
      <w:hyperlink r:id="rId14">
        <w:r w:rsidRPr="008543FA">
          <w:rPr>
            <w:color w:val="1155CC"/>
            <w:u w:val="single" w:color="1155CC"/>
          </w:rPr>
          <w:t>57315499&amp;site=</w:t>
        </w:r>
        <w:proofErr w:type="spellStart"/>
        <w:r w:rsidRPr="008543FA">
          <w:rPr>
            <w:color w:val="1155CC"/>
            <w:u w:val="single" w:color="1155CC"/>
          </w:rPr>
          <w:t>ehost-live&amp;scope</w:t>
        </w:r>
        <w:proofErr w:type="spellEnd"/>
        <w:r w:rsidRPr="008543FA">
          <w:rPr>
            <w:color w:val="1155CC"/>
            <w:u w:val="single" w:color="1155CC"/>
          </w:rPr>
          <w:t>=site</w:t>
        </w:r>
      </w:hyperlink>
      <w:r w:rsidRPr="008543FA">
        <w:t>.</w:t>
      </w:r>
      <w:r w:rsidRPr="008543FA">
        <w:rPr>
          <w:spacing w:val="-1"/>
        </w:rPr>
        <w:t xml:space="preserve"> </w:t>
      </w:r>
      <w:r w:rsidRPr="008543FA">
        <w:t>Accessed</w:t>
      </w:r>
      <w:r w:rsidRPr="008543FA">
        <w:rPr>
          <w:spacing w:val="-1"/>
        </w:rPr>
        <w:t xml:space="preserve"> </w:t>
      </w:r>
      <w:r w:rsidRPr="008543FA">
        <w:t>24</w:t>
      </w:r>
      <w:r w:rsidRPr="008543FA">
        <w:rPr>
          <w:spacing w:val="-1"/>
        </w:rPr>
        <w:t xml:space="preserve"> </w:t>
      </w:r>
      <w:r w:rsidRPr="008543FA">
        <w:t xml:space="preserve">Sep. </w:t>
      </w:r>
      <w:r w:rsidRPr="008543FA">
        <w:rPr>
          <w:spacing w:val="-2"/>
        </w:rPr>
        <w:t>2022.</w:t>
      </w:r>
    </w:p>
    <w:p w14:paraId="59DED6B7" w14:textId="77777777" w:rsidR="002D33E9" w:rsidRPr="008543FA" w:rsidRDefault="002D33E9" w:rsidP="008543FA">
      <w:pPr>
        <w:pStyle w:val="BodyText"/>
      </w:pPr>
    </w:p>
    <w:p w14:paraId="54E00990" w14:textId="77777777" w:rsidR="002D33E9" w:rsidRPr="008543FA" w:rsidRDefault="00000000" w:rsidP="008543FA">
      <w:pPr>
        <w:pStyle w:val="BodyText"/>
      </w:pPr>
      <w:r w:rsidRPr="008543FA">
        <w:t xml:space="preserve">Johnson, Nuala C. “Mapping monuments: the shaping of public space and cultural identities.” Visual Communication, vol. 1, no. 3, 1 Oct. 2002, pp. 293–298, SAGE, </w:t>
      </w:r>
      <w:hyperlink r:id="rId15">
        <w:r w:rsidRPr="008543FA">
          <w:rPr>
            <w:color w:val="1155CC"/>
            <w:spacing w:val="-2"/>
            <w:u w:val="single" w:color="1155CC"/>
          </w:rPr>
          <w:t>https://journals-sagepub-com.ucheck.berry.edu/doi/epdf/10.1177/147035720200100302</w:t>
        </w:r>
      </w:hyperlink>
      <w:r w:rsidRPr="008543FA">
        <w:rPr>
          <w:spacing w:val="-2"/>
        </w:rPr>
        <w:t>.</w:t>
      </w:r>
    </w:p>
    <w:p w14:paraId="31DBC669" w14:textId="77777777" w:rsidR="002D33E9" w:rsidRPr="008543FA" w:rsidRDefault="00000000" w:rsidP="008543FA">
      <w:pPr>
        <w:pStyle w:val="BodyText"/>
      </w:pPr>
      <w:r w:rsidRPr="008543FA">
        <w:t xml:space="preserve">Accessed 15 Oct. </w:t>
      </w:r>
      <w:r w:rsidRPr="008543FA">
        <w:rPr>
          <w:spacing w:val="-2"/>
        </w:rPr>
        <w:t>2022.</w:t>
      </w:r>
    </w:p>
    <w:p w14:paraId="57576F9A" w14:textId="77777777" w:rsidR="002D33E9" w:rsidRPr="008543FA" w:rsidRDefault="002D33E9" w:rsidP="008543FA">
      <w:pPr>
        <w:pStyle w:val="BodyText"/>
      </w:pPr>
    </w:p>
    <w:p w14:paraId="50614F65" w14:textId="77777777" w:rsidR="002D33E9" w:rsidRPr="008543FA" w:rsidRDefault="00000000" w:rsidP="008543FA">
      <w:pPr>
        <w:pStyle w:val="BodyText"/>
      </w:pPr>
      <w:r w:rsidRPr="008543FA">
        <w:t>Kay,</w:t>
      </w:r>
      <w:r w:rsidRPr="008543FA">
        <w:rPr>
          <w:spacing w:val="-4"/>
        </w:rPr>
        <w:t xml:space="preserve"> </w:t>
      </w:r>
      <w:r w:rsidRPr="008543FA">
        <w:t>Carson</w:t>
      </w:r>
      <w:r w:rsidRPr="008543FA">
        <w:rPr>
          <w:spacing w:val="-4"/>
        </w:rPr>
        <w:t xml:space="preserve"> </w:t>
      </w:r>
      <w:r w:rsidRPr="008543FA">
        <w:t>S.</w:t>
      </w:r>
      <w:r w:rsidRPr="008543FA">
        <w:rPr>
          <w:spacing w:val="-4"/>
        </w:rPr>
        <w:t xml:space="preserve"> </w:t>
      </w:r>
      <w:r w:rsidRPr="008543FA">
        <w:t>“White-Washed</w:t>
      </w:r>
      <w:r w:rsidRPr="008543FA">
        <w:rPr>
          <w:spacing w:val="-4"/>
        </w:rPr>
        <w:t xml:space="preserve"> </w:t>
      </w:r>
      <w:r w:rsidRPr="008543FA">
        <w:t>and/or</w:t>
      </w:r>
      <w:r w:rsidRPr="008543FA">
        <w:rPr>
          <w:spacing w:val="-4"/>
        </w:rPr>
        <w:t xml:space="preserve"> </w:t>
      </w:r>
      <w:proofErr w:type="spellStart"/>
      <w:proofErr w:type="gramStart"/>
      <w:r w:rsidRPr="008543FA">
        <w:t>Blackfaced</w:t>
      </w:r>
      <w:proofErr w:type="spellEnd"/>
      <w:r w:rsidRPr="008543FA">
        <w:t>?:</w:t>
      </w:r>
      <w:proofErr w:type="gramEnd"/>
      <w:r w:rsidRPr="008543FA">
        <w:rPr>
          <w:spacing w:val="-5"/>
        </w:rPr>
        <w:t xml:space="preserve"> </w:t>
      </w:r>
      <w:r w:rsidRPr="008543FA">
        <w:t>The</w:t>
      </w:r>
      <w:r w:rsidRPr="008543FA">
        <w:rPr>
          <w:spacing w:val="-4"/>
        </w:rPr>
        <w:t xml:space="preserve"> </w:t>
      </w:r>
      <w:r w:rsidRPr="008543FA">
        <w:t>Roles</w:t>
      </w:r>
      <w:r w:rsidRPr="008543FA">
        <w:rPr>
          <w:spacing w:val="-5"/>
        </w:rPr>
        <w:t xml:space="preserve"> </w:t>
      </w:r>
      <w:r w:rsidRPr="008543FA">
        <w:t>of</w:t>
      </w:r>
      <w:r w:rsidRPr="008543FA">
        <w:rPr>
          <w:spacing w:val="-4"/>
        </w:rPr>
        <w:t xml:space="preserve"> </w:t>
      </w:r>
      <w:r w:rsidRPr="008543FA">
        <w:t>Public</w:t>
      </w:r>
      <w:r w:rsidRPr="008543FA">
        <w:rPr>
          <w:spacing w:val="-4"/>
        </w:rPr>
        <w:t xml:space="preserve"> </w:t>
      </w:r>
      <w:r w:rsidRPr="008543FA">
        <w:t>Memory,</w:t>
      </w:r>
      <w:r w:rsidRPr="008543FA">
        <w:rPr>
          <w:spacing w:val="-5"/>
        </w:rPr>
        <w:t xml:space="preserve"> </w:t>
      </w:r>
      <w:r w:rsidRPr="008543FA">
        <w:t xml:space="preserve">Racial (Re)Presentation, and White Guilt in Memorialization of Black Confederate Soldiers.” Carolinas </w:t>
      </w:r>
      <w:r w:rsidRPr="008543FA">
        <w:lastRenderedPageBreak/>
        <w:t xml:space="preserve">Communication Annual, vol. 35, Jan. 2019, pp. 1–16. EBSCOhost, </w:t>
      </w:r>
      <w:hyperlink r:id="rId16">
        <w:r w:rsidRPr="008543FA">
          <w:rPr>
            <w:color w:val="1155CC"/>
            <w:spacing w:val="-2"/>
            <w:u w:val="single" w:color="1155CC"/>
          </w:rPr>
          <w:t>https://search.ebscohost.com/login.aspx?direct=true&amp;AuthType=ip,shib&amp;db=cms&amp;AN=</w:t>
        </w:r>
      </w:hyperlink>
    </w:p>
    <w:p w14:paraId="402FB779" w14:textId="77777777" w:rsidR="002D33E9" w:rsidRPr="008543FA" w:rsidRDefault="00000000" w:rsidP="008543FA">
      <w:pPr>
        <w:pStyle w:val="BodyText"/>
      </w:pPr>
      <w:hyperlink r:id="rId17">
        <w:r w:rsidRPr="008543FA">
          <w:rPr>
            <w:color w:val="1155CC"/>
            <w:u w:val="single" w:color="1155CC"/>
          </w:rPr>
          <w:t>139423581&amp;site=</w:t>
        </w:r>
        <w:proofErr w:type="spellStart"/>
        <w:r w:rsidRPr="008543FA">
          <w:rPr>
            <w:color w:val="1155CC"/>
            <w:u w:val="single" w:color="1155CC"/>
          </w:rPr>
          <w:t>ehost-live&amp;scope</w:t>
        </w:r>
        <w:proofErr w:type="spellEnd"/>
        <w:r w:rsidRPr="008543FA">
          <w:rPr>
            <w:color w:val="1155CC"/>
            <w:u w:val="single" w:color="1155CC"/>
          </w:rPr>
          <w:t>=site</w:t>
        </w:r>
      </w:hyperlink>
      <w:r w:rsidRPr="008543FA">
        <w:t>.</w:t>
      </w:r>
      <w:r w:rsidRPr="008543FA">
        <w:rPr>
          <w:spacing w:val="-1"/>
        </w:rPr>
        <w:t xml:space="preserve"> </w:t>
      </w:r>
      <w:r w:rsidRPr="008543FA">
        <w:t>Accessed</w:t>
      </w:r>
      <w:r w:rsidRPr="008543FA">
        <w:rPr>
          <w:spacing w:val="-1"/>
        </w:rPr>
        <w:t xml:space="preserve"> </w:t>
      </w:r>
      <w:r w:rsidRPr="008543FA">
        <w:t>15</w:t>
      </w:r>
      <w:r w:rsidRPr="008543FA">
        <w:rPr>
          <w:spacing w:val="-1"/>
        </w:rPr>
        <w:t xml:space="preserve"> </w:t>
      </w:r>
      <w:r w:rsidRPr="008543FA">
        <w:t xml:space="preserve">Oct. </w:t>
      </w:r>
      <w:r w:rsidRPr="008543FA">
        <w:rPr>
          <w:spacing w:val="-2"/>
        </w:rPr>
        <w:t>2022.</w:t>
      </w:r>
    </w:p>
    <w:p w14:paraId="377C9F11" w14:textId="77777777" w:rsidR="002D33E9" w:rsidRPr="008543FA" w:rsidRDefault="002D33E9" w:rsidP="008543FA">
      <w:pPr>
        <w:pStyle w:val="BodyText"/>
      </w:pPr>
    </w:p>
    <w:p w14:paraId="42EF1EC0" w14:textId="77777777" w:rsidR="002D33E9" w:rsidRPr="008543FA" w:rsidRDefault="00000000" w:rsidP="008543FA">
      <w:pPr>
        <w:pStyle w:val="BodyText"/>
      </w:pPr>
      <w:proofErr w:type="spellStart"/>
      <w:r w:rsidRPr="008543FA">
        <w:t>Krzyżanowska</w:t>
      </w:r>
      <w:proofErr w:type="spellEnd"/>
      <w:r w:rsidRPr="008543FA">
        <w:t>, Natalia. “The Discourse of Counter-Monuments: Semiotics of Material Commemoration</w:t>
      </w:r>
      <w:r w:rsidRPr="008543FA">
        <w:rPr>
          <w:spacing w:val="-4"/>
        </w:rPr>
        <w:t xml:space="preserve"> </w:t>
      </w:r>
      <w:r w:rsidRPr="008543FA">
        <w:t>in</w:t>
      </w:r>
      <w:r w:rsidRPr="008543FA">
        <w:rPr>
          <w:spacing w:val="-4"/>
        </w:rPr>
        <w:t xml:space="preserve"> </w:t>
      </w:r>
      <w:r w:rsidRPr="008543FA">
        <w:t>Contemporary</w:t>
      </w:r>
      <w:r w:rsidRPr="008543FA">
        <w:rPr>
          <w:spacing w:val="-4"/>
        </w:rPr>
        <w:t xml:space="preserve"> </w:t>
      </w:r>
      <w:r w:rsidRPr="008543FA">
        <w:t>Urban</w:t>
      </w:r>
      <w:r w:rsidRPr="008543FA">
        <w:rPr>
          <w:spacing w:val="-4"/>
        </w:rPr>
        <w:t xml:space="preserve"> </w:t>
      </w:r>
      <w:r w:rsidRPr="008543FA">
        <w:t>Spaces.”</w:t>
      </w:r>
      <w:r w:rsidRPr="008543FA">
        <w:rPr>
          <w:spacing w:val="-4"/>
        </w:rPr>
        <w:t xml:space="preserve"> </w:t>
      </w:r>
      <w:r w:rsidRPr="008543FA">
        <w:t>Social</w:t>
      </w:r>
      <w:r w:rsidRPr="008543FA">
        <w:rPr>
          <w:spacing w:val="-4"/>
        </w:rPr>
        <w:t xml:space="preserve"> </w:t>
      </w:r>
      <w:r w:rsidRPr="008543FA">
        <w:t>Semiotics,</w:t>
      </w:r>
      <w:r w:rsidRPr="008543FA">
        <w:rPr>
          <w:spacing w:val="-4"/>
        </w:rPr>
        <w:t xml:space="preserve"> </w:t>
      </w:r>
      <w:r w:rsidRPr="008543FA">
        <w:t>vol.</w:t>
      </w:r>
      <w:r w:rsidRPr="008543FA">
        <w:rPr>
          <w:spacing w:val="-4"/>
        </w:rPr>
        <w:t xml:space="preserve"> </w:t>
      </w:r>
      <w:r w:rsidRPr="008543FA">
        <w:t>26,</w:t>
      </w:r>
      <w:r w:rsidRPr="008543FA">
        <w:rPr>
          <w:spacing w:val="-4"/>
        </w:rPr>
        <w:t xml:space="preserve"> </w:t>
      </w:r>
      <w:r w:rsidRPr="008543FA">
        <w:t>no.</w:t>
      </w:r>
      <w:r w:rsidRPr="008543FA">
        <w:rPr>
          <w:spacing w:val="-4"/>
        </w:rPr>
        <w:t xml:space="preserve"> </w:t>
      </w:r>
      <w:r w:rsidRPr="008543FA">
        <w:t>5,</w:t>
      </w:r>
      <w:r w:rsidRPr="008543FA">
        <w:rPr>
          <w:spacing w:val="-4"/>
        </w:rPr>
        <w:t xml:space="preserve"> </w:t>
      </w:r>
      <w:r w:rsidRPr="008543FA">
        <w:t>Nov. 2016, pp. 465–85, EBSCOhost,</w:t>
      </w:r>
      <w:r w:rsidRPr="008543FA">
        <w:rPr>
          <w:spacing w:val="40"/>
        </w:rPr>
        <w:t xml:space="preserve"> </w:t>
      </w:r>
      <w:hyperlink r:id="rId18">
        <w:r w:rsidRPr="008543FA">
          <w:rPr>
            <w:color w:val="1155CC"/>
            <w:u w:val="single" w:color="1155CC"/>
          </w:rPr>
          <w:t>https://doi.org/10.1080/10350330.2015.1096132</w:t>
        </w:r>
      </w:hyperlink>
      <w:r w:rsidRPr="008543FA">
        <w:t>.</w:t>
      </w:r>
    </w:p>
    <w:p w14:paraId="6A7B8D4E" w14:textId="77777777" w:rsidR="002D33E9" w:rsidRPr="008543FA" w:rsidRDefault="00000000" w:rsidP="008543FA">
      <w:pPr>
        <w:pStyle w:val="BodyText"/>
      </w:pPr>
      <w:r w:rsidRPr="008543FA">
        <w:t xml:space="preserve">Accessed 18 Oct. </w:t>
      </w:r>
      <w:r w:rsidRPr="008543FA">
        <w:rPr>
          <w:spacing w:val="-2"/>
        </w:rPr>
        <w:t>2022.</w:t>
      </w:r>
    </w:p>
    <w:p w14:paraId="20E8D635" w14:textId="77777777" w:rsidR="002D33E9" w:rsidRPr="008543FA" w:rsidRDefault="002D33E9" w:rsidP="008543FA">
      <w:pPr>
        <w:pStyle w:val="BodyText"/>
      </w:pPr>
    </w:p>
    <w:p w14:paraId="1F6E862C" w14:textId="77777777" w:rsidR="002D33E9" w:rsidRPr="008543FA" w:rsidRDefault="00000000" w:rsidP="008543FA">
      <w:pPr>
        <w:pStyle w:val="BodyText"/>
      </w:pPr>
      <w:proofErr w:type="spellStart"/>
      <w:r w:rsidRPr="008543FA">
        <w:t>Leib</w:t>
      </w:r>
      <w:proofErr w:type="spellEnd"/>
      <w:r w:rsidRPr="008543FA">
        <w:t>,</w:t>
      </w:r>
      <w:r w:rsidRPr="008543FA">
        <w:rPr>
          <w:spacing w:val="-3"/>
        </w:rPr>
        <w:t xml:space="preserve"> </w:t>
      </w:r>
      <w:r w:rsidRPr="008543FA">
        <w:t>Jonathan.</w:t>
      </w:r>
      <w:r w:rsidRPr="008543FA">
        <w:rPr>
          <w:spacing w:val="-2"/>
        </w:rPr>
        <w:t xml:space="preserve"> </w:t>
      </w:r>
      <w:r w:rsidRPr="008543FA">
        <w:t>“Separate</w:t>
      </w:r>
      <w:r w:rsidRPr="008543FA">
        <w:rPr>
          <w:spacing w:val="-3"/>
        </w:rPr>
        <w:t xml:space="preserve"> </w:t>
      </w:r>
      <w:r w:rsidRPr="008543FA">
        <w:t>times,</w:t>
      </w:r>
      <w:r w:rsidRPr="008543FA">
        <w:rPr>
          <w:spacing w:val="-2"/>
        </w:rPr>
        <w:t xml:space="preserve"> </w:t>
      </w:r>
      <w:r w:rsidRPr="008543FA">
        <w:t>shared</w:t>
      </w:r>
      <w:r w:rsidRPr="008543FA">
        <w:rPr>
          <w:spacing w:val="-2"/>
        </w:rPr>
        <w:t xml:space="preserve"> </w:t>
      </w:r>
      <w:r w:rsidRPr="008543FA">
        <w:t>spaces:</w:t>
      </w:r>
      <w:r w:rsidRPr="008543FA">
        <w:rPr>
          <w:spacing w:val="-3"/>
        </w:rPr>
        <w:t xml:space="preserve"> </w:t>
      </w:r>
      <w:r w:rsidRPr="008543FA">
        <w:t>Arthur</w:t>
      </w:r>
      <w:r w:rsidRPr="008543FA">
        <w:rPr>
          <w:spacing w:val="-2"/>
        </w:rPr>
        <w:t xml:space="preserve"> </w:t>
      </w:r>
      <w:r w:rsidRPr="008543FA">
        <w:t>Ashe,</w:t>
      </w:r>
      <w:r w:rsidRPr="008543FA">
        <w:rPr>
          <w:spacing w:val="-2"/>
        </w:rPr>
        <w:t xml:space="preserve"> </w:t>
      </w:r>
      <w:r w:rsidRPr="008543FA">
        <w:t>Monument</w:t>
      </w:r>
      <w:r w:rsidRPr="008543FA">
        <w:rPr>
          <w:spacing w:val="-2"/>
        </w:rPr>
        <w:t xml:space="preserve"> </w:t>
      </w:r>
      <w:r w:rsidRPr="008543FA">
        <w:t>Avenue</w:t>
      </w:r>
      <w:r w:rsidRPr="008543FA">
        <w:rPr>
          <w:spacing w:val="-2"/>
        </w:rPr>
        <w:t xml:space="preserve"> </w:t>
      </w:r>
      <w:r w:rsidRPr="008543FA">
        <w:t>and</w:t>
      </w:r>
      <w:r w:rsidRPr="008543FA">
        <w:rPr>
          <w:spacing w:val="-2"/>
        </w:rPr>
        <w:t xml:space="preserve"> </w:t>
      </w:r>
      <w:r w:rsidRPr="008543FA">
        <w:t>the politics</w:t>
      </w:r>
      <w:r w:rsidRPr="008543FA">
        <w:rPr>
          <w:spacing w:val="-5"/>
        </w:rPr>
        <w:t xml:space="preserve"> </w:t>
      </w:r>
      <w:r w:rsidRPr="008543FA">
        <w:t>of</w:t>
      </w:r>
      <w:r w:rsidRPr="008543FA">
        <w:rPr>
          <w:spacing w:val="-4"/>
        </w:rPr>
        <w:t xml:space="preserve"> </w:t>
      </w:r>
      <w:r w:rsidRPr="008543FA">
        <w:t>Richmond,</w:t>
      </w:r>
      <w:r w:rsidRPr="008543FA">
        <w:rPr>
          <w:spacing w:val="-4"/>
        </w:rPr>
        <w:t xml:space="preserve"> </w:t>
      </w:r>
      <w:r w:rsidRPr="008543FA">
        <w:t>Virginia’s</w:t>
      </w:r>
      <w:r w:rsidRPr="008543FA">
        <w:rPr>
          <w:spacing w:val="-5"/>
        </w:rPr>
        <w:t xml:space="preserve"> </w:t>
      </w:r>
      <w:r w:rsidRPr="008543FA">
        <w:t>symbolic</w:t>
      </w:r>
      <w:r w:rsidRPr="008543FA">
        <w:rPr>
          <w:spacing w:val="-4"/>
        </w:rPr>
        <w:t xml:space="preserve"> </w:t>
      </w:r>
      <w:r w:rsidRPr="008543FA">
        <w:t>landscape.”</w:t>
      </w:r>
      <w:r w:rsidRPr="008543FA">
        <w:rPr>
          <w:spacing w:val="-4"/>
        </w:rPr>
        <w:t xml:space="preserve"> </w:t>
      </w:r>
      <w:r w:rsidRPr="008543FA">
        <w:t>Cultural</w:t>
      </w:r>
      <w:r w:rsidRPr="008543FA">
        <w:rPr>
          <w:spacing w:val="-4"/>
        </w:rPr>
        <w:t xml:space="preserve"> </w:t>
      </w:r>
      <w:r w:rsidRPr="008543FA">
        <w:t>Geographies.,</w:t>
      </w:r>
      <w:r w:rsidRPr="008543FA">
        <w:rPr>
          <w:spacing w:val="-4"/>
        </w:rPr>
        <w:t xml:space="preserve"> </w:t>
      </w:r>
      <w:r w:rsidRPr="008543FA">
        <w:t>vol.</w:t>
      </w:r>
      <w:r w:rsidRPr="008543FA">
        <w:rPr>
          <w:spacing w:val="-4"/>
        </w:rPr>
        <w:t xml:space="preserve"> </w:t>
      </w:r>
      <w:r w:rsidRPr="008543FA">
        <w:t>9,</w:t>
      </w:r>
      <w:r w:rsidRPr="008543FA">
        <w:rPr>
          <w:spacing w:val="-4"/>
        </w:rPr>
        <w:t xml:space="preserve"> </w:t>
      </w:r>
      <w:r w:rsidRPr="008543FA">
        <w:t xml:space="preserve">no. 3, July 2002, pp. 286-312, JSTOR, </w:t>
      </w:r>
      <w:hyperlink r:id="rId19">
        <w:r w:rsidRPr="008543FA">
          <w:rPr>
            <w:color w:val="1155CC"/>
            <w:u w:val="single" w:color="1155CC"/>
          </w:rPr>
          <w:t>https://www.jstor.org/stable/44250888</w:t>
        </w:r>
      </w:hyperlink>
      <w:r w:rsidRPr="008543FA">
        <w:t>. Accessed 21</w:t>
      </w:r>
    </w:p>
    <w:p w14:paraId="6E1E146F" w14:textId="77777777" w:rsidR="002D33E9" w:rsidRPr="008543FA" w:rsidRDefault="00000000" w:rsidP="008543FA">
      <w:pPr>
        <w:pStyle w:val="BodyText"/>
      </w:pPr>
      <w:r w:rsidRPr="008543FA">
        <w:t xml:space="preserve">Oct. </w:t>
      </w:r>
      <w:r w:rsidRPr="008543FA">
        <w:rPr>
          <w:spacing w:val="-2"/>
        </w:rPr>
        <w:t>2022.</w:t>
      </w:r>
    </w:p>
    <w:p w14:paraId="1302C6FC" w14:textId="77777777" w:rsidR="002D33E9" w:rsidRPr="008543FA" w:rsidRDefault="002D33E9" w:rsidP="008543FA">
      <w:pPr>
        <w:pStyle w:val="BodyText"/>
      </w:pPr>
    </w:p>
    <w:p w14:paraId="6C98714F" w14:textId="77777777" w:rsidR="002D33E9" w:rsidRPr="008543FA" w:rsidRDefault="00000000" w:rsidP="008543FA">
      <w:pPr>
        <w:pStyle w:val="BodyText"/>
      </w:pPr>
      <w:r w:rsidRPr="008543FA">
        <w:t>Little,</w:t>
      </w:r>
      <w:r w:rsidRPr="008543FA">
        <w:rPr>
          <w:spacing w:val="-4"/>
        </w:rPr>
        <w:t xml:space="preserve"> </w:t>
      </w:r>
      <w:r w:rsidRPr="008543FA">
        <w:t>Alexia.</w:t>
      </w:r>
      <w:r w:rsidRPr="008543FA">
        <w:rPr>
          <w:spacing w:val="-4"/>
        </w:rPr>
        <w:t xml:space="preserve"> </w:t>
      </w:r>
      <w:r w:rsidRPr="008543FA">
        <w:t>“The</w:t>
      </w:r>
      <w:r w:rsidRPr="008543FA">
        <w:rPr>
          <w:spacing w:val="-4"/>
        </w:rPr>
        <w:t xml:space="preserve"> </w:t>
      </w:r>
      <w:r w:rsidRPr="008543FA">
        <w:t>Flag</w:t>
      </w:r>
      <w:r w:rsidRPr="008543FA">
        <w:rPr>
          <w:spacing w:val="-4"/>
        </w:rPr>
        <w:t xml:space="preserve"> </w:t>
      </w:r>
      <w:r w:rsidRPr="008543FA">
        <w:t>Unfurled:</w:t>
      </w:r>
      <w:r w:rsidRPr="008543FA">
        <w:rPr>
          <w:spacing w:val="-4"/>
        </w:rPr>
        <w:t xml:space="preserve"> </w:t>
      </w:r>
      <w:r w:rsidRPr="008543FA">
        <w:t>The</w:t>
      </w:r>
      <w:r w:rsidRPr="008543FA">
        <w:rPr>
          <w:spacing w:val="-4"/>
        </w:rPr>
        <w:t xml:space="preserve"> </w:t>
      </w:r>
      <w:r w:rsidRPr="008543FA">
        <w:t>Negotiation</w:t>
      </w:r>
      <w:r w:rsidRPr="008543FA">
        <w:rPr>
          <w:spacing w:val="-4"/>
        </w:rPr>
        <w:t xml:space="preserve"> </w:t>
      </w:r>
      <w:r w:rsidRPr="008543FA">
        <w:t>of</w:t>
      </w:r>
      <w:r w:rsidRPr="008543FA">
        <w:rPr>
          <w:spacing w:val="-4"/>
        </w:rPr>
        <w:t xml:space="preserve"> </w:t>
      </w:r>
      <w:r w:rsidRPr="008543FA">
        <w:t>Civil</w:t>
      </w:r>
      <w:r w:rsidRPr="008543FA">
        <w:rPr>
          <w:spacing w:val="-4"/>
        </w:rPr>
        <w:t xml:space="preserve"> </w:t>
      </w:r>
      <w:r w:rsidRPr="008543FA">
        <w:t>War</w:t>
      </w:r>
      <w:r w:rsidRPr="008543FA">
        <w:rPr>
          <w:spacing w:val="-4"/>
        </w:rPr>
        <w:t xml:space="preserve"> </w:t>
      </w:r>
      <w:r w:rsidRPr="008543FA">
        <w:t>Memory</w:t>
      </w:r>
      <w:r w:rsidRPr="008543FA">
        <w:rPr>
          <w:spacing w:val="-4"/>
        </w:rPr>
        <w:t xml:space="preserve"> </w:t>
      </w:r>
      <w:r w:rsidRPr="008543FA">
        <w:t>in</w:t>
      </w:r>
      <w:r w:rsidRPr="008543FA">
        <w:rPr>
          <w:spacing w:val="-4"/>
        </w:rPr>
        <w:t xml:space="preserve"> </w:t>
      </w:r>
      <w:r w:rsidRPr="008543FA">
        <w:t>Confederate Displays.” American Journalism, vol. 39, no. 2, 2022, pp. 169–195.,</w:t>
      </w:r>
    </w:p>
    <w:p w14:paraId="2F3FD3A5" w14:textId="77777777" w:rsidR="002D33E9" w:rsidRPr="008543FA" w:rsidRDefault="00000000" w:rsidP="008543FA">
      <w:pPr>
        <w:pStyle w:val="BodyText"/>
      </w:pPr>
      <w:hyperlink r:id="rId20">
        <w:r w:rsidRPr="008543FA">
          <w:rPr>
            <w:color w:val="1155CC"/>
            <w:u w:val="single" w:color="1155CC"/>
          </w:rPr>
          <w:t>https://doi.org/10.1080/08821127.2022.2064364</w:t>
        </w:r>
      </w:hyperlink>
      <w:r w:rsidRPr="008543FA">
        <w:t>.</w:t>
      </w:r>
      <w:r w:rsidRPr="008543FA">
        <w:rPr>
          <w:spacing w:val="-1"/>
        </w:rPr>
        <w:t xml:space="preserve"> </w:t>
      </w:r>
      <w:r w:rsidRPr="008543FA">
        <w:t xml:space="preserve">Accessed 24 Sep. </w:t>
      </w:r>
      <w:r w:rsidRPr="008543FA">
        <w:rPr>
          <w:spacing w:val="-2"/>
        </w:rPr>
        <w:t>2022.</w:t>
      </w:r>
    </w:p>
    <w:p w14:paraId="68BAFEE4" w14:textId="77777777" w:rsidR="002D33E9" w:rsidRPr="008543FA" w:rsidRDefault="002D33E9" w:rsidP="008543FA">
      <w:pPr>
        <w:pStyle w:val="BodyText"/>
      </w:pPr>
    </w:p>
    <w:p w14:paraId="68D1609E" w14:textId="77777777" w:rsidR="002D33E9" w:rsidRPr="008543FA" w:rsidRDefault="00000000" w:rsidP="008543FA">
      <w:pPr>
        <w:pStyle w:val="BodyText"/>
      </w:pPr>
      <w:r w:rsidRPr="008543FA">
        <w:t>Maxson, J. David. “‘Second Line to Bury White Supremacy’: Take '</w:t>
      </w:r>
      <w:proofErr w:type="spellStart"/>
      <w:r w:rsidRPr="008543FA">
        <w:t>Em</w:t>
      </w:r>
      <w:proofErr w:type="spellEnd"/>
      <w:r w:rsidRPr="008543FA">
        <w:t xml:space="preserve"> down Nola, Monument</w:t>
      </w:r>
      <w:r w:rsidRPr="008543FA">
        <w:rPr>
          <w:spacing w:val="-4"/>
        </w:rPr>
        <w:t xml:space="preserve"> </w:t>
      </w:r>
      <w:r w:rsidRPr="008543FA">
        <w:t>Removal,</w:t>
      </w:r>
      <w:r w:rsidRPr="008543FA">
        <w:rPr>
          <w:spacing w:val="-4"/>
        </w:rPr>
        <w:t xml:space="preserve"> </w:t>
      </w:r>
      <w:r w:rsidRPr="008543FA">
        <w:t>and</w:t>
      </w:r>
      <w:r w:rsidRPr="008543FA">
        <w:rPr>
          <w:spacing w:val="-4"/>
        </w:rPr>
        <w:t xml:space="preserve"> </w:t>
      </w:r>
      <w:r w:rsidRPr="008543FA">
        <w:t>Residual</w:t>
      </w:r>
      <w:r w:rsidRPr="008543FA">
        <w:rPr>
          <w:spacing w:val="-5"/>
        </w:rPr>
        <w:t xml:space="preserve"> </w:t>
      </w:r>
      <w:r w:rsidRPr="008543FA">
        <w:t>Memory.”</w:t>
      </w:r>
      <w:r w:rsidRPr="008543FA">
        <w:rPr>
          <w:spacing w:val="-4"/>
        </w:rPr>
        <w:t xml:space="preserve"> </w:t>
      </w:r>
      <w:r w:rsidRPr="008543FA">
        <w:t>Quarterly</w:t>
      </w:r>
      <w:r w:rsidRPr="008543FA">
        <w:rPr>
          <w:spacing w:val="-4"/>
        </w:rPr>
        <w:t xml:space="preserve"> </w:t>
      </w:r>
      <w:r w:rsidRPr="008543FA">
        <w:t>Journal</w:t>
      </w:r>
      <w:r w:rsidRPr="008543FA">
        <w:rPr>
          <w:spacing w:val="-4"/>
        </w:rPr>
        <w:t xml:space="preserve"> </w:t>
      </w:r>
      <w:r w:rsidRPr="008543FA">
        <w:t>of</w:t>
      </w:r>
      <w:r w:rsidRPr="008543FA">
        <w:rPr>
          <w:spacing w:val="-5"/>
        </w:rPr>
        <w:t xml:space="preserve"> </w:t>
      </w:r>
      <w:r w:rsidRPr="008543FA">
        <w:t>Speech,</w:t>
      </w:r>
      <w:r w:rsidRPr="008543FA">
        <w:rPr>
          <w:spacing w:val="-4"/>
        </w:rPr>
        <w:t xml:space="preserve"> </w:t>
      </w:r>
      <w:r w:rsidRPr="008543FA">
        <w:t>vol.</w:t>
      </w:r>
      <w:r w:rsidRPr="008543FA">
        <w:rPr>
          <w:spacing w:val="-4"/>
        </w:rPr>
        <w:t xml:space="preserve"> </w:t>
      </w:r>
      <w:r w:rsidRPr="008543FA">
        <w:t>106,</w:t>
      </w:r>
      <w:r w:rsidRPr="008543FA">
        <w:rPr>
          <w:spacing w:val="-4"/>
        </w:rPr>
        <w:t xml:space="preserve"> </w:t>
      </w:r>
      <w:r w:rsidRPr="008543FA">
        <w:t xml:space="preserve">no. 1, 2019, pp. 48–71., </w:t>
      </w:r>
      <w:hyperlink r:id="rId21">
        <w:r w:rsidRPr="008543FA">
          <w:rPr>
            <w:u w:val="single"/>
          </w:rPr>
          <w:t>https://doi.org/10.1080/00335630.2019.1704428</w:t>
        </w:r>
      </w:hyperlink>
      <w:r w:rsidRPr="008543FA">
        <w:t>. Accessed 10 Oct.</w:t>
      </w:r>
    </w:p>
    <w:p w14:paraId="43748DE7" w14:textId="77777777" w:rsidR="002D33E9" w:rsidRPr="008543FA" w:rsidRDefault="00000000" w:rsidP="008543FA">
      <w:pPr>
        <w:pStyle w:val="BodyText"/>
      </w:pPr>
      <w:r w:rsidRPr="008543FA">
        <w:rPr>
          <w:spacing w:val="-2"/>
        </w:rPr>
        <w:t>2022.</w:t>
      </w:r>
    </w:p>
    <w:p w14:paraId="69749E19" w14:textId="77777777" w:rsidR="002D33E9" w:rsidRPr="008543FA" w:rsidRDefault="002D33E9" w:rsidP="008543FA">
      <w:pPr>
        <w:pStyle w:val="BodyText"/>
      </w:pPr>
    </w:p>
    <w:p w14:paraId="39E2145A" w14:textId="77777777" w:rsidR="002D33E9" w:rsidRPr="008543FA" w:rsidRDefault="00000000" w:rsidP="008543FA">
      <w:pPr>
        <w:pStyle w:val="BodyText"/>
      </w:pPr>
      <w:r w:rsidRPr="008543FA">
        <w:t>Perkins,</w:t>
      </w:r>
      <w:r w:rsidRPr="008543FA">
        <w:rPr>
          <w:spacing w:val="-3"/>
        </w:rPr>
        <w:t xml:space="preserve"> </w:t>
      </w:r>
      <w:proofErr w:type="spellStart"/>
      <w:r w:rsidRPr="008543FA">
        <w:t>Stephynie</w:t>
      </w:r>
      <w:proofErr w:type="spellEnd"/>
      <w:r w:rsidRPr="008543FA">
        <w:t>.</w:t>
      </w:r>
      <w:r w:rsidRPr="008543FA">
        <w:rPr>
          <w:spacing w:val="-3"/>
        </w:rPr>
        <w:t xml:space="preserve"> </w:t>
      </w:r>
      <w:r w:rsidRPr="008543FA">
        <w:t>“Nathan</w:t>
      </w:r>
      <w:r w:rsidRPr="008543FA">
        <w:rPr>
          <w:spacing w:val="-3"/>
        </w:rPr>
        <w:t xml:space="preserve"> </w:t>
      </w:r>
      <w:r w:rsidRPr="008543FA">
        <w:t>Bedford</w:t>
      </w:r>
      <w:r w:rsidRPr="008543FA">
        <w:rPr>
          <w:spacing w:val="-3"/>
        </w:rPr>
        <w:t xml:space="preserve"> </w:t>
      </w:r>
      <w:r w:rsidRPr="008543FA">
        <w:t>Forrest,</w:t>
      </w:r>
      <w:r w:rsidRPr="008543FA">
        <w:rPr>
          <w:spacing w:val="-3"/>
        </w:rPr>
        <w:t xml:space="preserve"> </w:t>
      </w:r>
      <w:r w:rsidRPr="008543FA">
        <w:t>the</w:t>
      </w:r>
      <w:r w:rsidRPr="008543FA">
        <w:rPr>
          <w:spacing w:val="-3"/>
        </w:rPr>
        <w:t xml:space="preserve"> </w:t>
      </w:r>
      <w:r w:rsidRPr="008543FA">
        <w:t>Ku</w:t>
      </w:r>
      <w:r w:rsidRPr="008543FA">
        <w:rPr>
          <w:spacing w:val="-3"/>
        </w:rPr>
        <w:t xml:space="preserve"> </w:t>
      </w:r>
      <w:r w:rsidRPr="008543FA">
        <w:t>Klux</w:t>
      </w:r>
      <w:r w:rsidRPr="008543FA">
        <w:rPr>
          <w:spacing w:val="-3"/>
        </w:rPr>
        <w:t xml:space="preserve"> </w:t>
      </w:r>
      <w:r w:rsidRPr="008543FA">
        <w:t>Klan,</w:t>
      </w:r>
      <w:r w:rsidRPr="008543FA">
        <w:rPr>
          <w:spacing w:val="-3"/>
        </w:rPr>
        <w:t xml:space="preserve"> </w:t>
      </w:r>
      <w:r w:rsidRPr="008543FA">
        <w:t>Southern</w:t>
      </w:r>
      <w:r w:rsidRPr="008543FA">
        <w:rPr>
          <w:spacing w:val="-3"/>
        </w:rPr>
        <w:t xml:space="preserve"> </w:t>
      </w:r>
      <w:r w:rsidRPr="008543FA">
        <w:t>Pride</w:t>
      </w:r>
      <w:r w:rsidRPr="008543FA">
        <w:rPr>
          <w:spacing w:val="-3"/>
        </w:rPr>
        <w:t xml:space="preserve"> </w:t>
      </w:r>
      <w:r w:rsidRPr="008543FA">
        <w:t>or</w:t>
      </w:r>
      <w:r w:rsidRPr="008543FA">
        <w:rPr>
          <w:spacing w:val="-3"/>
        </w:rPr>
        <w:t xml:space="preserve"> </w:t>
      </w:r>
      <w:r w:rsidRPr="008543FA">
        <w:t xml:space="preserve">Civic Oppression: 21st Century Reader’s Letters to the Editor Frame a Modern Discussion of Race and Racism.” Florida Communication Journal, vol 43, no. 2, 2015, EBSCOhost, </w:t>
      </w:r>
      <w:hyperlink r:id="rId22">
        <w:r w:rsidRPr="008543FA">
          <w:rPr>
            <w:color w:val="1155CC"/>
            <w:spacing w:val="-2"/>
            <w:u w:val="single" w:color="1155CC"/>
          </w:rPr>
          <w:t>https://search.ebscohost.com/login.aspx?direct=true&amp;AuthType=ip,shib&amp;db=cms&amp;AN=</w:t>
        </w:r>
      </w:hyperlink>
    </w:p>
    <w:p w14:paraId="3133906C" w14:textId="77777777" w:rsidR="002D33E9" w:rsidRPr="008543FA" w:rsidRDefault="00000000" w:rsidP="008543FA">
      <w:pPr>
        <w:pStyle w:val="BodyText"/>
      </w:pPr>
      <w:hyperlink r:id="rId23">
        <w:r w:rsidRPr="008543FA">
          <w:rPr>
            <w:color w:val="1155CC"/>
            <w:u w:val="single" w:color="1155CC"/>
          </w:rPr>
          <w:t>111067549&amp;site=</w:t>
        </w:r>
        <w:proofErr w:type="spellStart"/>
        <w:r w:rsidRPr="008543FA">
          <w:rPr>
            <w:color w:val="1155CC"/>
            <w:u w:val="single" w:color="1155CC"/>
          </w:rPr>
          <w:t>ehost-live&amp;scope</w:t>
        </w:r>
        <w:proofErr w:type="spellEnd"/>
        <w:r w:rsidRPr="008543FA">
          <w:rPr>
            <w:color w:val="1155CC"/>
            <w:u w:val="single" w:color="1155CC"/>
          </w:rPr>
          <w:t>=</w:t>
        </w:r>
        <w:proofErr w:type="spellStart"/>
        <w:r w:rsidRPr="008543FA">
          <w:rPr>
            <w:color w:val="1155CC"/>
            <w:u w:val="single" w:color="1155CC"/>
          </w:rPr>
          <w:t>site&amp;custid</w:t>
        </w:r>
        <w:proofErr w:type="spellEnd"/>
        <w:r w:rsidRPr="008543FA">
          <w:rPr>
            <w:color w:val="1155CC"/>
            <w:u w:val="single" w:color="1155CC"/>
          </w:rPr>
          <w:t>=ber1</w:t>
        </w:r>
      </w:hyperlink>
      <w:r w:rsidRPr="008543FA">
        <w:t>.</w:t>
      </w:r>
      <w:r w:rsidRPr="008543FA">
        <w:rPr>
          <w:spacing w:val="-3"/>
        </w:rPr>
        <w:t xml:space="preserve"> </w:t>
      </w:r>
      <w:r w:rsidRPr="008543FA">
        <w:t>Accessed</w:t>
      </w:r>
      <w:r w:rsidRPr="008543FA">
        <w:rPr>
          <w:spacing w:val="-2"/>
        </w:rPr>
        <w:t xml:space="preserve"> </w:t>
      </w:r>
      <w:r w:rsidRPr="008543FA">
        <w:t>21</w:t>
      </w:r>
      <w:r w:rsidRPr="008543FA">
        <w:rPr>
          <w:spacing w:val="-2"/>
        </w:rPr>
        <w:t xml:space="preserve"> </w:t>
      </w:r>
      <w:r w:rsidRPr="008543FA">
        <w:t>Oct.</w:t>
      </w:r>
      <w:r w:rsidRPr="008543FA">
        <w:rPr>
          <w:spacing w:val="-2"/>
        </w:rPr>
        <w:t xml:space="preserve"> 2022.</w:t>
      </w:r>
    </w:p>
    <w:p w14:paraId="62853033" w14:textId="77777777" w:rsidR="002D33E9" w:rsidRPr="008543FA" w:rsidRDefault="002D33E9" w:rsidP="008543FA">
      <w:pPr>
        <w:pStyle w:val="BodyText"/>
      </w:pPr>
    </w:p>
    <w:p w14:paraId="2A96FCE7" w14:textId="77777777" w:rsidR="002D33E9" w:rsidRPr="008543FA" w:rsidRDefault="00000000" w:rsidP="008543FA">
      <w:pPr>
        <w:pStyle w:val="BodyText"/>
      </w:pPr>
      <w:proofErr w:type="spellStart"/>
      <w:r w:rsidRPr="008543FA">
        <w:t>Simko</w:t>
      </w:r>
      <w:proofErr w:type="spellEnd"/>
      <w:r w:rsidRPr="008543FA">
        <w:t>, Christina, et al. “Contesting Commemorative Landscapes: Confederate Monuments</w:t>
      </w:r>
      <w:r w:rsidRPr="008543FA">
        <w:rPr>
          <w:spacing w:val="-4"/>
        </w:rPr>
        <w:t xml:space="preserve"> </w:t>
      </w:r>
      <w:r w:rsidRPr="008543FA">
        <w:t>and</w:t>
      </w:r>
      <w:r w:rsidRPr="008543FA">
        <w:rPr>
          <w:spacing w:val="-3"/>
        </w:rPr>
        <w:t xml:space="preserve"> </w:t>
      </w:r>
      <w:r w:rsidRPr="008543FA">
        <w:t>Trajectories</w:t>
      </w:r>
      <w:r w:rsidRPr="008543FA">
        <w:rPr>
          <w:spacing w:val="-3"/>
        </w:rPr>
        <w:t xml:space="preserve"> </w:t>
      </w:r>
      <w:r w:rsidRPr="008543FA">
        <w:t>of</w:t>
      </w:r>
      <w:r w:rsidRPr="008543FA">
        <w:rPr>
          <w:spacing w:val="-3"/>
        </w:rPr>
        <w:t xml:space="preserve"> </w:t>
      </w:r>
      <w:r w:rsidRPr="008543FA">
        <w:t>Change.”</w:t>
      </w:r>
      <w:r w:rsidRPr="008543FA">
        <w:rPr>
          <w:spacing w:val="-3"/>
        </w:rPr>
        <w:t xml:space="preserve"> </w:t>
      </w:r>
      <w:r w:rsidRPr="008543FA">
        <w:t>Social</w:t>
      </w:r>
      <w:r w:rsidRPr="008543FA">
        <w:rPr>
          <w:spacing w:val="-3"/>
        </w:rPr>
        <w:t xml:space="preserve"> </w:t>
      </w:r>
      <w:r w:rsidRPr="008543FA">
        <w:t>Problems,</w:t>
      </w:r>
      <w:r w:rsidRPr="008543FA">
        <w:rPr>
          <w:spacing w:val="-3"/>
        </w:rPr>
        <w:t xml:space="preserve"> </w:t>
      </w:r>
      <w:r w:rsidRPr="008543FA">
        <w:t>vol.</w:t>
      </w:r>
      <w:r w:rsidRPr="008543FA">
        <w:rPr>
          <w:spacing w:val="-3"/>
        </w:rPr>
        <w:t xml:space="preserve"> </w:t>
      </w:r>
      <w:r w:rsidRPr="008543FA">
        <w:t>69,</w:t>
      </w:r>
      <w:r w:rsidRPr="008543FA">
        <w:rPr>
          <w:spacing w:val="-3"/>
        </w:rPr>
        <w:t xml:space="preserve"> </w:t>
      </w:r>
      <w:r w:rsidRPr="008543FA">
        <w:t>no.</w:t>
      </w:r>
      <w:r w:rsidRPr="008543FA">
        <w:rPr>
          <w:spacing w:val="-3"/>
        </w:rPr>
        <w:t xml:space="preserve"> </w:t>
      </w:r>
      <w:r w:rsidRPr="008543FA">
        <w:t>3,</w:t>
      </w:r>
      <w:r w:rsidRPr="008543FA">
        <w:rPr>
          <w:spacing w:val="-3"/>
        </w:rPr>
        <w:t xml:space="preserve"> </w:t>
      </w:r>
      <w:r w:rsidRPr="008543FA">
        <w:t>2020,</w:t>
      </w:r>
      <w:r w:rsidRPr="008543FA">
        <w:rPr>
          <w:spacing w:val="-3"/>
        </w:rPr>
        <w:t xml:space="preserve"> </w:t>
      </w:r>
      <w:r w:rsidRPr="008543FA">
        <w:t>pp.</w:t>
      </w:r>
      <w:r w:rsidRPr="008543FA">
        <w:rPr>
          <w:spacing w:val="-3"/>
        </w:rPr>
        <w:t xml:space="preserve"> </w:t>
      </w:r>
      <w:r w:rsidRPr="008543FA">
        <w:t xml:space="preserve">591– 611., </w:t>
      </w:r>
      <w:hyperlink r:id="rId24">
        <w:r w:rsidRPr="008543FA">
          <w:rPr>
            <w:u w:val="single"/>
          </w:rPr>
          <w:t>https://doi.org/10.1093/socpro/spaa067</w:t>
        </w:r>
      </w:hyperlink>
      <w:r w:rsidRPr="008543FA">
        <w:t>. Accessed 5 Oct. 2022.</w:t>
      </w:r>
    </w:p>
    <w:p w14:paraId="7D7104BA" w14:textId="77777777" w:rsidR="002D33E9" w:rsidRPr="008543FA" w:rsidRDefault="002D33E9" w:rsidP="008543FA">
      <w:pPr>
        <w:pStyle w:val="BodyText"/>
      </w:pPr>
    </w:p>
    <w:p w14:paraId="73CF5977" w14:textId="77777777" w:rsidR="002D33E9" w:rsidRPr="008543FA" w:rsidRDefault="00000000" w:rsidP="008543FA">
      <w:pPr>
        <w:pStyle w:val="BodyText"/>
      </w:pPr>
      <w:r w:rsidRPr="008543FA">
        <w:t xml:space="preserve">Stokes-Casey, Jody. “Richard Lou’s </w:t>
      </w:r>
      <w:proofErr w:type="spellStart"/>
      <w:r w:rsidRPr="008543FA">
        <w:t>ReCovering</w:t>
      </w:r>
      <w:proofErr w:type="spellEnd"/>
      <w:r w:rsidRPr="008543FA">
        <w:t xml:space="preserve"> Memphis: Conceptual Iconoclasm of the</w:t>
      </w:r>
      <w:r w:rsidRPr="008543FA">
        <w:rPr>
          <w:spacing w:val="-4"/>
        </w:rPr>
        <w:t xml:space="preserve"> </w:t>
      </w:r>
      <w:r w:rsidRPr="008543FA">
        <w:t>Nathan</w:t>
      </w:r>
      <w:r w:rsidRPr="008543FA">
        <w:rPr>
          <w:spacing w:val="-4"/>
        </w:rPr>
        <w:t xml:space="preserve"> </w:t>
      </w:r>
      <w:r w:rsidRPr="008543FA">
        <w:t>Bedford</w:t>
      </w:r>
      <w:r w:rsidRPr="008543FA">
        <w:rPr>
          <w:spacing w:val="-4"/>
        </w:rPr>
        <w:t xml:space="preserve"> </w:t>
      </w:r>
      <w:r w:rsidRPr="008543FA">
        <w:t>Forrest</w:t>
      </w:r>
      <w:r w:rsidRPr="008543FA">
        <w:rPr>
          <w:spacing w:val="-4"/>
        </w:rPr>
        <w:t xml:space="preserve"> </w:t>
      </w:r>
      <w:r w:rsidRPr="008543FA">
        <w:t>Monument.”</w:t>
      </w:r>
      <w:r w:rsidRPr="008543FA">
        <w:rPr>
          <w:spacing w:val="-4"/>
        </w:rPr>
        <w:t xml:space="preserve"> </w:t>
      </w:r>
      <w:r w:rsidRPr="008543FA">
        <w:t>Tennessee</w:t>
      </w:r>
      <w:r w:rsidRPr="008543FA">
        <w:rPr>
          <w:spacing w:val="-5"/>
        </w:rPr>
        <w:t xml:space="preserve"> </w:t>
      </w:r>
      <w:r w:rsidRPr="008543FA">
        <w:t>Historical</w:t>
      </w:r>
      <w:r w:rsidRPr="008543FA">
        <w:rPr>
          <w:spacing w:val="-4"/>
        </w:rPr>
        <w:t xml:space="preserve"> </w:t>
      </w:r>
      <w:r w:rsidRPr="008543FA">
        <w:t>Quarterly,</w:t>
      </w:r>
      <w:r w:rsidRPr="008543FA">
        <w:rPr>
          <w:spacing w:val="-4"/>
        </w:rPr>
        <w:t xml:space="preserve"> </w:t>
      </w:r>
      <w:r w:rsidRPr="008543FA">
        <w:t>vol.</w:t>
      </w:r>
      <w:r w:rsidRPr="008543FA">
        <w:rPr>
          <w:spacing w:val="-4"/>
        </w:rPr>
        <w:t xml:space="preserve"> </w:t>
      </w:r>
      <w:r w:rsidRPr="008543FA">
        <w:t>75,</w:t>
      </w:r>
      <w:r w:rsidRPr="008543FA">
        <w:rPr>
          <w:spacing w:val="-4"/>
        </w:rPr>
        <w:t xml:space="preserve"> </w:t>
      </w:r>
      <w:r w:rsidRPr="008543FA">
        <w:t>no.</w:t>
      </w:r>
      <w:r w:rsidRPr="008543FA">
        <w:rPr>
          <w:spacing w:val="-4"/>
        </w:rPr>
        <w:t xml:space="preserve"> </w:t>
      </w:r>
      <w:r w:rsidRPr="008543FA">
        <w:t>4, 2016, pp. 322–47. JSTOR, https:/</w:t>
      </w:r>
      <w:hyperlink r:id="rId25">
        <w:r w:rsidRPr="008543FA">
          <w:t>/www.jstor.org/</w:t>
        </w:r>
      </w:hyperlink>
      <w:r w:rsidRPr="008543FA">
        <w:t>s</w:t>
      </w:r>
      <w:hyperlink r:id="rId26">
        <w:r w:rsidRPr="008543FA">
          <w:t>table/26540255.</w:t>
        </w:r>
      </w:hyperlink>
      <w:r w:rsidRPr="008543FA">
        <w:t xml:space="preserve"> Accessed 25 Sep.</w:t>
      </w:r>
    </w:p>
    <w:p w14:paraId="7632DDC3" w14:textId="77777777" w:rsidR="008543FA" w:rsidRPr="008543FA" w:rsidRDefault="00000000" w:rsidP="008543FA">
      <w:pPr>
        <w:pStyle w:val="BodyText"/>
        <w:rPr>
          <w:spacing w:val="-2"/>
        </w:rPr>
      </w:pPr>
      <w:r w:rsidRPr="008543FA">
        <w:rPr>
          <w:spacing w:val="-2"/>
        </w:rPr>
        <w:t>2022.</w:t>
      </w:r>
    </w:p>
    <w:p w14:paraId="7CB44926" w14:textId="77777777" w:rsidR="008543FA" w:rsidRPr="008543FA" w:rsidRDefault="008543FA" w:rsidP="008543FA">
      <w:pPr>
        <w:pStyle w:val="BodyText"/>
        <w:rPr>
          <w:spacing w:val="-2"/>
        </w:rPr>
      </w:pPr>
    </w:p>
    <w:p w14:paraId="4FCFA7B7" w14:textId="18728711" w:rsidR="002D33E9" w:rsidRPr="008543FA" w:rsidRDefault="00000000" w:rsidP="008543FA">
      <w:pPr>
        <w:pStyle w:val="BodyText"/>
      </w:pPr>
      <w:r w:rsidRPr="008543FA">
        <w:t>Vail, Mark T. “Reconstructing the Lost Cause in the Memphis City Parks Renaming Controversy.”</w:t>
      </w:r>
      <w:r w:rsidRPr="008543FA">
        <w:rPr>
          <w:spacing w:val="-4"/>
        </w:rPr>
        <w:t xml:space="preserve"> </w:t>
      </w:r>
      <w:r w:rsidRPr="008543FA">
        <w:t>Western</w:t>
      </w:r>
      <w:r w:rsidRPr="008543FA">
        <w:rPr>
          <w:spacing w:val="-5"/>
        </w:rPr>
        <w:t xml:space="preserve"> </w:t>
      </w:r>
      <w:r w:rsidRPr="008543FA">
        <w:t>Journal</w:t>
      </w:r>
      <w:r w:rsidRPr="008543FA">
        <w:rPr>
          <w:spacing w:val="-5"/>
        </w:rPr>
        <w:t xml:space="preserve"> </w:t>
      </w:r>
      <w:r w:rsidRPr="008543FA">
        <w:t>of</w:t>
      </w:r>
      <w:r w:rsidRPr="008543FA">
        <w:rPr>
          <w:spacing w:val="-4"/>
        </w:rPr>
        <w:t xml:space="preserve"> </w:t>
      </w:r>
      <w:r w:rsidRPr="008543FA">
        <w:t>Communication,</w:t>
      </w:r>
      <w:r w:rsidRPr="008543FA">
        <w:rPr>
          <w:spacing w:val="-4"/>
        </w:rPr>
        <w:t xml:space="preserve"> </w:t>
      </w:r>
      <w:r w:rsidRPr="008543FA">
        <w:t>vol.</w:t>
      </w:r>
      <w:r w:rsidRPr="008543FA">
        <w:rPr>
          <w:spacing w:val="-4"/>
        </w:rPr>
        <w:t xml:space="preserve"> </w:t>
      </w:r>
      <w:r w:rsidRPr="008543FA">
        <w:t>76,</w:t>
      </w:r>
      <w:r w:rsidRPr="008543FA">
        <w:rPr>
          <w:spacing w:val="-4"/>
        </w:rPr>
        <w:t xml:space="preserve"> </w:t>
      </w:r>
      <w:r w:rsidRPr="008543FA">
        <w:t>no.</w:t>
      </w:r>
      <w:r w:rsidRPr="008543FA">
        <w:rPr>
          <w:spacing w:val="-4"/>
        </w:rPr>
        <w:t xml:space="preserve"> </w:t>
      </w:r>
      <w:r w:rsidRPr="008543FA">
        <w:t>4,</w:t>
      </w:r>
      <w:r w:rsidRPr="008543FA">
        <w:rPr>
          <w:spacing w:val="-4"/>
        </w:rPr>
        <w:t xml:space="preserve"> </w:t>
      </w:r>
      <w:r w:rsidRPr="008543FA">
        <w:t>2012,</w:t>
      </w:r>
      <w:r w:rsidRPr="008543FA">
        <w:rPr>
          <w:spacing w:val="-4"/>
        </w:rPr>
        <w:t xml:space="preserve"> </w:t>
      </w:r>
      <w:r w:rsidRPr="008543FA">
        <w:t>pp.</w:t>
      </w:r>
      <w:r w:rsidRPr="008543FA">
        <w:rPr>
          <w:spacing w:val="-4"/>
        </w:rPr>
        <w:t xml:space="preserve"> </w:t>
      </w:r>
      <w:r w:rsidRPr="008543FA">
        <w:t>417–437.,</w:t>
      </w:r>
    </w:p>
    <w:p w14:paraId="03E1672F" w14:textId="71F658B3" w:rsidR="002D33E9" w:rsidRDefault="00000000" w:rsidP="008543FA">
      <w:pPr>
        <w:pStyle w:val="BodyText"/>
        <w:rPr>
          <w:spacing w:val="-2"/>
        </w:rPr>
      </w:pPr>
      <w:hyperlink r:id="rId27">
        <w:r w:rsidRPr="008543FA">
          <w:rPr>
            <w:color w:val="1155CC"/>
            <w:u w:val="single" w:color="1155CC"/>
          </w:rPr>
          <w:t>https://doi.org/10.1080/10570314.2011.651257</w:t>
        </w:r>
      </w:hyperlink>
      <w:r w:rsidRPr="008543FA">
        <w:t>.</w:t>
      </w:r>
      <w:r w:rsidRPr="008543FA">
        <w:rPr>
          <w:spacing w:val="-1"/>
        </w:rPr>
        <w:t xml:space="preserve"> </w:t>
      </w:r>
      <w:r w:rsidRPr="008543FA">
        <w:t xml:space="preserve">Accessed 26 Sep. </w:t>
      </w:r>
      <w:r w:rsidRPr="008543FA">
        <w:rPr>
          <w:spacing w:val="-2"/>
        </w:rPr>
        <w:t>2022.</w:t>
      </w:r>
    </w:p>
    <w:p w14:paraId="6256B2C9" w14:textId="77777777" w:rsidR="008543FA" w:rsidRPr="008543FA" w:rsidRDefault="008543FA" w:rsidP="008543FA">
      <w:pPr>
        <w:pStyle w:val="BodyText"/>
      </w:pPr>
    </w:p>
    <w:p w14:paraId="79402EB5" w14:textId="77777777" w:rsidR="002D33E9" w:rsidRPr="008543FA" w:rsidRDefault="00000000" w:rsidP="008543FA">
      <w:pPr>
        <w:rPr>
          <w:sz w:val="24"/>
          <w:szCs w:val="24"/>
        </w:rPr>
      </w:pPr>
      <w:proofErr w:type="spellStart"/>
      <w:r w:rsidRPr="008543FA">
        <w:rPr>
          <w:sz w:val="24"/>
          <w:szCs w:val="24"/>
        </w:rPr>
        <w:t>Vinitzky</w:t>
      </w:r>
      <w:proofErr w:type="spellEnd"/>
      <w:r w:rsidRPr="008543FA">
        <w:rPr>
          <w:sz w:val="24"/>
          <w:szCs w:val="24"/>
        </w:rPr>
        <w:t xml:space="preserve">-Seroussi, </w:t>
      </w:r>
      <w:proofErr w:type="spellStart"/>
      <w:r w:rsidRPr="008543FA">
        <w:rPr>
          <w:sz w:val="24"/>
          <w:szCs w:val="24"/>
        </w:rPr>
        <w:t>Vered</w:t>
      </w:r>
      <w:proofErr w:type="spellEnd"/>
      <w:r w:rsidRPr="008543FA">
        <w:rPr>
          <w:sz w:val="24"/>
          <w:szCs w:val="24"/>
        </w:rPr>
        <w:t>. “Commemorating a Difficult past: Yitzhak Rabin's Memorials.”</w:t>
      </w:r>
      <w:r w:rsidRPr="008543FA">
        <w:rPr>
          <w:spacing w:val="-4"/>
          <w:sz w:val="24"/>
          <w:szCs w:val="24"/>
        </w:rPr>
        <w:t xml:space="preserve"> </w:t>
      </w:r>
      <w:r w:rsidRPr="008543FA">
        <w:rPr>
          <w:sz w:val="24"/>
          <w:szCs w:val="24"/>
        </w:rPr>
        <w:t>American</w:t>
      </w:r>
      <w:r w:rsidRPr="008543FA">
        <w:rPr>
          <w:spacing w:val="-3"/>
          <w:sz w:val="24"/>
          <w:szCs w:val="24"/>
        </w:rPr>
        <w:t xml:space="preserve"> </w:t>
      </w:r>
      <w:r w:rsidRPr="008543FA">
        <w:rPr>
          <w:sz w:val="24"/>
          <w:szCs w:val="24"/>
        </w:rPr>
        <w:t>Sociological</w:t>
      </w:r>
      <w:r w:rsidRPr="008543FA">
        <w:rPr>
          <w:spacing w:val="-3"/>
          <w:sz w:val="24"/>
          <w:szCs w:val="24"/>
        </w:rPr>
        <w:t xml:space="preserve"> </w:t>
      </w:r>
      <w:r w:rsidRPr="008543FA">
        <w:rPr>
          <w:sz w:val="24"/>
          <w:szCs w:val="24"/>
        </w:rPr>
        <w:t>Review,</w:t>
      </w:r>
      <w:r w:rsidRPr="008543FA">
        <w:rPr>
          <w:spacing w:val="-3"/>
          <w:sz w:val="24"/>
          <w:szCs w:val="24"/>
        </w:rPr>
        <w:t xml:space="preserve"> </w:t>
      </w:r>
      <w:r w:rsidRPr="008543FA">
        <w:rPr>
          <w:sz w:val="24"/>
          <w:szCs w:val="24"/>
        </w:rPr>
        <w:t>vol.</w:t>
      </w:r>
      <w:r w:rsidRPr="008543FA">
        <w:rPr>
          <w:spacing w:val="-3"/>
          <w:sz w:val="24"/>
          <w:szCs w:val="24"/>
        </w:rPr>
        <w:t xml:space="preserve"> </w:t>
      </w:r>
      <w:r w:rsidRPr="008543FA">
        <w:rPr>
          <w:sz w:val="24"/>
          <w:szCs w:val="24"/>
        </w:rPr>
        <w:t>67,</w:t>
      </w:r>
      <w:r w:rsidRPr="008543FA">
        <w:rPr>
          <w:spacing w:val="-3"/>
          <w:sz w:val="24"/>
          <w:szCs w:val="24"/>
        </w:rPr>
        <w:t xml:space="preserve"> </w:t>
      </w:r>
      <w:r w:rsidRPr="008543FA">
        <w:rPr>
          <w:sz w:val="24"/>
          <w:szCs w:val="24"/>
        </w:rPr>
        <w:t>no.</w:t>
      </w:r>
      <w:r w:rsidRPr="008543FA">
        <w:rPr>
          <w:spacing w:val="-3"/>
          <w:sz w:val="24"/>
          <w:szCs w:val="24"/>
        </w:rPr>
        <w:t xml:space="preserve"> </w:t>
      </w:r>
      <w:r w:rsidRPr="008543FA">
        <w:rPr>
          <w:sz w:val="24"/>
          <w:szCs w:val="24"/>
        </w:rPr>
        <w:t>1,</w:t>
      </w:r>
      <w:r w:rsidRPr="008543FA">
        <w:rPr>
          <w:spacing w:val="40"/>
          <w:sz w:val="24"/>
          <w:szCs w:val="24"/>
        </w:rPr>
        <w:t xml:space="preserve"> </w:t>
      </w:r>
      <w:r w:rsidRPr="008543FA">
        <w:rPr>
          <w:sz w:val="24"/>
          <w:szCs w:val="24"/>
        </w:rPr>
        <w:t>Feb.</w:t>
      </w:r>
      <w:r w:rsidRPr="008543FA">
        <w:rPr>
          <w:spacing w:val="-3"/>
          <w:sz w:val="24"/>
          <w:szCs w:val="24"/>
        </w:rPr>
        <w:t xml:space="preserve"> </w:t>
      </w:r>
      <w:r w:rsidRPr="008543FA">
        <w:rPr>
          <w:sz w:val="24"/>
          <w:szCs w:val="24"/>
        </w:rPr>
        <w:t>2002,</w:t>
      </w:r>
      <w:r w:rsidRPr="008543FA">
        <w:rPr>
          <w:spacing w:val="-3"/>
          <w:sz w:val="24"/>
          <w:szCs w:val="24"/>
        </w:rPr>
        <w:t xml:space="preserve"> </w:t>
      </w:r>
      <w:r w:rsidRPr="008543FA">
        <w:rPr>
          <w:sz w:val="24"/>
          <w:szCs w:val="24"/>
        </w:rPr>
        <w:t>pp.</w:t>
      </w:r>
      <w:r w:rsidRPr="008543FA">
        <w:rPr>
          <w:spacing w:val="-3"/>
          <w:sz w:val="24"/>
          <w:szCs w:val="24"/>
        </w:rPr>
        <w:t xml:space="preserve"> </w:t>
      </w:r>
      <w:r w:rsidRPr="008543FA">
        <w:rPr>
          <w:sz w:val="24"/>
          <w:szCs w:val="24"/>
        </w:rPr>
        <w:t>30-51,</w:t>
      </w:r>
      <w:r w:rsidRPr="008543FA">
        <w:rPr>
          <w:spacing w:val="-3"/>
          <w:sz w:val="24"/>
          <w:szCs w:val="24"/>
        </w:rPr>
        <w:t xml:space="preserve"> </w:t>
      </w:r>
      <w:r w:rsidRPr="008543FA">
        <w:rPr>
          <w:sz w:val="24"/>
          <w:szCs w:val="24"/>
        </w:rPr>
        <w:t>JSTOR,</w:t>
      </w:r>
    </w:p>
    <w:p w14:paraId="2E4CD2FD" w14:textId="77777777" w:rsidR="002D33E9" w:rsidRPr="008543FA" w:rsidRDefault="00000000" w:rsidP="008543FA">
      <w:pPr>
        <w:pStyle w:val="BodyText"/>
        <w:rPr>
          <w:spacing w:val="-2"/>
        </w:rPr>
      </w:pPr>
      <w:hyperlink r:id="rId28">
        <w:r w:rsidRPr="008543FA">
          <w:rPr>
            <w:color w:val="1155CC"/>
            <w:u w:val="single" w:color="1155CC"/>
          </w:rPr>
          <w:t>https://www.jstor.org/stable/3088932</w:t>
        </w:r>
      </w:hyperlink>
      <w:r w:rsidRPr="008543FA">
        <w:t>.</w:t>
      </w:r>
      <w:r w:rsidRPr="008543FA">
        <w:rPr>
          <w:spacing w:val="-2"/>
        </w:rPr>
        <w:t xml:space="preserve"> </w:t>
      </w:r>
      <w:r w:rsidRPr="008543FA">
        <w:t>Accessed</w:t>
      </w:r>
      <w:r w:rsidRPr="008543FA">
        <w:rPr>
          <w:spacing w:val="-1"/>
        </w:rPr>
        <w:t xml:space="preserve"> </w:t>
      </w:r>
      <w:r w:rsidRPr="008543FA">
        <w:t>17</w:t>
      </w:r>
      <w:r w:rsidRPr="008543FA">
        <w:rPr>
          <w:spacing w:val="-1"/>
        </w:rPr>
        <w:t xml:space="preserve"> </w:t>
      </w:r>
      <w:r w:rsidRPr="008543FA">
        <w:t>Oct.</w:t>
      </w:r>
      <w:r w:rsidRPr="008543FA">
        <w:rPr>
          <w:spacing w:val="-1"/>
        </w:rPr>
        <w:t xml:space="preserve"> </w:t>
      </w:r>
      <w:r w:rsidRPr="008543FA">
        <w:rPr>
          <w:spacing w:val="-2"/>
        </w:rPr>
        <w:t>2022.</w:t>
      </w:r>
    </w:p>
    <w:p w14:paraId="39B9A48C" w14:textId="77777777" w:rsidR="008543FA" w:rsidRPr="008543FA" w:rsidRDefault="008543FA" w:rsidP="008543FA">
      <w:pPr>
        <w:pStyle w:val="BodyText"/>
      </w:pPr>
    </w:p>
    <w:sectPr w:rsidR="008543FA" w:rsidRPr="008543FA">
      <w:headerReference w:type="default" r:id="rId29"/>
      <w:pgSz w:w="12240" w:h="15840"/>
      <w:pgMar w:top="980" w:right="1340" w:bottom="280" w:left="134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532E" w14:textId="77777777" w:rsidR="007F1A56" w:rsidRDefault="007F1A56">
      <w:r>
        <w:separator/>
      </w:r>
    </w:p>
  </w:endnote>
  <w:endnote w:type="continuationSeparator" w:id="0">
    <w:p w14:paraId="55AA3464" w14:textId="77777777" w:rsidR="007F1A56" w:rsidRDefault="007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492379"/>
      <w:docPartObj>
        <w:docPartGallery w:val="Page Numbers (Bottom of Page)"/>
        <w:docPartUnique/>
      </w:docPartObj>
    </w:sdtPr>
    <w:sdtContent>
      <w:p w14:paraId="65DBF836" w14:textId="76EB8C8D" w:rsidR="008543FA" w:rsidRDefault="008543FA" w:rsidP="00F75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23019" w14:textId="77777777" w:rsidR="008543FA" w:rsidRDefault="008543FA" w:rsidP="00854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547042"/>
      <w:docPartObj>
        <w:docPartGallery w:val="Page Numbers (Bottom of Page)"/>
        <w:docPartUnique/>
      </w:docPartObj>
    </w:sdtPr>
    <w:sdtContent>
      <w:p w14:paraId="7E626B1D" w14:textId="70E9CFE0" w:rsidR="008543FA" w:rsidRDefault="008543FA" w:rsidP="00F75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EAEBD" w14:textId="77777777" w:rsidR="008543FA" w:rsidRDefault="008543FA" w:rsidP="008543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6A88" w14:textId="77777777" w:rsidR="007F1A56" w:rsidRDefault="007F1A56">
      <w:r>
        <w:separator/>
      </w:r>
    </w:p>
  </w:footnote>
  <w:footnote w:type="continuationSeparator" w:id="0">
    <w:p w14:paraId="74AB2052" w14:textId="77777777" w:rsidR="007F1A56" w:rsidRDefault="007F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ABE6" w14:textId="32CCFC87" w:rsidR="002D33E9" w:rsidRDefault="002D33E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6E57" w14:textId="77777777" w:rsidR="002D33E9" w:rsidRDefault="00000000">
    <w:pPr>
      <w:pStyle w:val="BodyText"/>
      <w:spacing w:line="14" w:lineRule="auto"/>
      <w:rPr>
        <w:sz w:val="20"/>
      </w:rPr>
    </w:pPr>
    <w:r>
      <w:rPr>
        <w:noProof/>
      </w:rPr>
      <mc:AlternateContent>
        <mc:Choice Requires="wps">
          <w:drawing>
            <wp:anchor distT="0" distB="0" distL="0" distR="0" simplePos="0" relativeHeight="487507456" behindDoc="1" locked="0" layoutInCell="1" allowOverlap="1" wp14:anchorId="18CE99A2" wp14:editId="48E89A91">
              <wp:simplePos x="0" y="0"/>
              <wp:positionH relativeFrom="page">
                <wp:posOffset>6388100</wp:posOffset>
              </wp:positionH>
              <wp:positionV relativeFrom="page">
                <wp:posOffset>450972</wp:posOffset>
              </wp:positionV>
              <wp:extent cx="33909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94310"/>
                      </a:xfrm>
                      <a:prstGeom prst="rect">
                        <a:avLst/>
                      </a:prstGeom>
                    </wps:spPr>
                    <wps:txbx>
                      <w:txbxContent>
                        <w:p w14:paraId="73A4A6A7" w14:textId="77777777" w:rsidR="002D33E9" w:rsidRDefault="00000000">
                          <w:pPr>
                            <w:pStyle w:val="BodyText"/>
                            <w:spacing w:before="10"/>
                            <w:ind w:left="20"/>
                          </w:pPr>
                          <w:r>
                            <w:rPr>
                              <w:spacing w:val="-2"/>
                            </w:rPr>
                            <w:t>Snell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03pt;margin-top:35.509640pt;width:26.7pt;height:15.3pt;mso-position-horizontal-relative:page;mso-position-vertical-relative:page;z-index:-15809024" type="#_x0000_t202" id="docshape2" filled="false" stroked="false">
              <v:textbox inset="0,0,0,0">
                <w:txbxContent>
                  <w:p>
                    <w:pPr>
                      <w:pStyle w:val="BodyText"/>
                      <w:spacing w:before="10"/>
                      <w:ind w:left="20"/>
                    </w:pPr>
                    <w:r>
                      <w:rPr>
                        <w:spacing w:val="-2"/>
                      </w:rPr>
                      <w:t>Snell</w:t>
                    </w:r>
                  </w:p>
                </w:txbxContent>
              </v:textbox>
              <w10:wrap type="non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D33E9"/>
    <w:rsid w:val="002D33E9"/>
    <w:rsid w:val="007F1A56"/>
    <w:rsid w:val="008543FA"/>
    <w:rsid w:val="00F7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D380F"/>
  <w15:docId w15:val="{49DA50E6-9965-144D-A77F-ABE10290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3FA"/>
    <w:pPr>
      <w:tabs>
        <w:tab w:val="center" w:pos="4680"/>
        <w:tab w:val="right" w:pos="9360"/>
      </w:tabs>
    </w:pPr>
  </w:style>
  <w:style w:type="character" w:customStyle="1" w:styleId="HeaderChar">
    <w:name w:val="Header Char"/>
    <w:basedOn w:val="DefaultParagraphFont"/>
    <w:link w:val="Header"/>
    <w:uiPriority w:val="99"/>
    <w:rsid w:val="008543FA"/>
    <w:rPr>
      <w:rFonts w:ascii="Times New Roman" w:eastAsia="Times New Roman" w:hAnsi="Times New Roman" w:cs="Times New Roman"/>
    </w:rPr>
  </w:style>
  <w:style w:type="paragraph" w:styleId="Footer">
    <w:name w:val="footer"/>
    <w:basedOn w:val="Normal"/>
    <w:link w:val="FooterChar"/>
    <w:uiPriority w:val="99"/>
    <w:unhideWhenUsed/>
    <w:rsid w:val="008543FA"/>
    <w:pPr>
      <w:tabs>
        <w:tab w:val="center" w:pos="4680"/>
        <w:tab w:val="right" w:pos="9360"/>
      </w:tabs>
    </w:pPr>
  </w:style>
  <w:style w:type="character" w:customStyle="1" w:styleId="FooterChar">
    <w:name w:val="Footer Char"/>
    <w:basedOn w:val="DefaultParagraphFont"/>
    <w:link w:val="Footer"/>
    <w:uiPriority w:val="99"/>
    <w:rsid w:val="008543FA"/>
    <w:rPr>
      <w:rFonts w:ascii="Times New Roman" w:eastAsia="Times New Roman" w:hAnsi="Times New Roman" w:cs="Times New Roman"/>
    </w:rPr>
  </w:style>
  <w:style w:type="character" w:styleId="PageNumber">
    <w:name w:val="page number"/>
    <w:basedOn w:val="DefaultParagraphFont"/>
    <w:uiPriority w:val="99"/>
    <w:semiHidden/>
    <w:unhideWhenUsed/>
    <w:rsid w:val="0085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search.ebscohost.com/login.aspx?direct=true&amp;AuthType=ip%2Cshib&amp;db=cms&amp;AN=57315499&amp;site=ehost-live&amp;scope=site" TargetMode="External"/><Relationship Id="rId18" Type="http://schemas.openxmlformats.org/officeDocument/2006/relationships/hyperlink" Target="https://doi.org/10.1080/10350330.2015.1096132" TargetMode="External"/><Relationship Id="rId26" Type="http://schemas.openxmlformats.org/officeDocument/2006/relationships/hyperlink" Target="http://www.jstor.org/stable/26540255" TargetMode="External"/><Relationship Id="rId3" Type="http://schemas.openxmlformats.org/officeDocument/2006/relationships/webSettings" Target="webSettings.xml"/><Relationship Id="rId21" Type="http://schemas.openxmlformats.org/officeDocument/2006/relationships/hyperlink" Target="https://doi.org/10.1080/00335630.2019.1704428" TargetMode="External"/><Relationship Id="rId7" Type="http://schemas.openxmlformats.org/officeDocument/2006/relationships/footer" Target="footer1.xml"/><Relationship Id="rId12" Type="http://schemas.openxmlformats.org/officeDocument/2006/relationships/hyperlink" Target="https://www.jstor.org/stable/10.3366/j.ctvxcrvk7.25" TargetMode="External"/><Relationship Id="rId17" Type="http://schemas.openxmlformats.org/officeDocument/2006/relationships/hyperlink" Target="https://search.ebscohost.com/login.aspx?direct=true&amp;AuthType=ip%2Cshib&amp;db=cms&amp;AN=139423581&amp;site=ehost-live&amp;scope=site" TargetMode="External"/><Relationship Id="rId25" Type="http://schemas.openxmlformats.org/officeDocument/2006/relationships/hyperlink" Target="http://www.jstor.org/stable/26540255" TargetMode="External"/><Relationship Id="rId2" Type="http://schemas.openxmlformats.org/officeDocument/2006/relationships/settings" Target="settings.xml"/><Relationship Id="rId16" Type="http://schemas.openxmlformats.org/officeDocument/2006/relationships/hyperlink" Target="https://search.ebscohost.com/login.aspx?direct=true&amp;AuthType=ip%2Cshib&amp;db=cms&amp;AN=139423581&amp;site=ehost-live&amp;scope=site" TargetMode="External"/><Relationship Id="rId20" Type="http://schemas.openxmlformats.org/officeDocument/2006/relationships/hyperlink" Target="https://doi.org/10.1080/08821127.2022.2064364"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i.org/10.1177/1474474018796653" TargetMode="External"/><Relationship Id="rId24" Type="http://schemas.openxmlformats.org/officeDocument/2006/relationships/hyperlink" Target="https://doi.org/10.1093/socpro/spaa067" TargetMode="External"/><Relationship Id="rId5" Type="http://schemas.openxmlformats.org/officeDocument/2006/relationships/endnotes" Target="endnotes.xml"/><Relationship Id="rId15" Type="http://schemas.openxmlformats.org/officeDocument/2006/relationships/hyperlink" Target="https://journals-sagepub-com.ucheck.berry.edu/doi/epdf/10.1177/147035720200100302" TargetMode="External"/><Relationship Id="rId23" Type="http://schemas.openxmlformats.org/officeDocument/2006/relationships/hyperlink" Target="https://search.ebscohost.com/login.aspx?direct=true&amp;AuthType=ip%2Cshib&amp;db=cms&amp;AN=111067549&amp;site=ehost-live&amp;scope=site&amp;custid=ber1" TargetMode="External"/><Relationship Id="rId28" Type="http://schemas.openxmlformats.org/officeDocument/2006/relationships/hyperlink" Target="https://www.jstor.org/stable/3088932" TargetMode="External"/><Relationship Id="rId10" Type="http://schemas.openxmlformats.org/officeDocument/2006/relationships/hyperlink" Target="https://doi.org/10.1111/ssqu.12965" TargetMode="External"/><Relationship Id="rId19" Type="http://schemas.openxmlformats.org/officeDocument/2006/relationships/hyperlink" Target="https://www.jstor.org/stable/4425088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80/15551393.2018.1491736" TargetMode="External"/><Relationship Id="rId14" Type="http://schemas.openxmlformats.org/officeDocument/2006/relationships/hyperlink" Target="https://search.ebscohost.com/login.aspx?direct=true&amp;AuthType=ip%2Cshib&amp;db=cms&amp;AN=57315499&amp;site=ehost-live&amp;scope=site" TargetMode="External"/><Relationship Id="rId22" Type="http://schemas.openxmlformats.org/officeDocument/2006/relationships/hyperlink" Target="https://search.ebscohost.com/login.aspx?direct=true&amp;AuthType=ip%2Cshib&amp;db=cms&amp;AN=111067549&amp;site=ehost-live&amp;scope=site&amp;custid=ber1" TargetMode="External"/><Relationship Id="rId27" Type="http://schemas.openxmlformats.org/officeDocument/2006/relationships/hyperlink" Target="https://doi.org/10.1080/10570314.2011.65125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2472</Words>
  <Characters>14096</Characters>
  <Application>Microsoft Office Word</Application>
  <DocSecurity>0</DocSecurity>
  <Lines>117</Lines>
  <Paragraphs>33</Paragraphs>
  <ScaleCrop>false</ScaleCrop>
  <Company>Berry College</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Carroll, Brian</cp:lastModifiedBy>
  <cp:revision>3</cp:revision>
  <dcterms:created xsi:type="dcterms:W3CDTF">2023-07-26T14:25:00Z</dcterms:created>
  <dcterms:modified xsi:type="dcterms:W3CDTF">2023-07-26T14:30:00Z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2023-07-26T00:00:00Z</vt:filetime>
  </property>
  <property fmtid="{D5CDD505-2E9C-101B-9397-08002B2CF9AE}" pid="4" name="Producer">
    <vt:lpwstr>Aspose.PDF for Java 19.12</vt:lpwstr>
  </property>
</Properties>
</file>